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B17EF" w14:textId="15C1E6BC" w:rsidR="00532700" w:rsidRPr="003C064D" w:rsidRDefault="00595EF9" w:rsidP="003C064D">
      <w:pPr>
        <w:spacing w:after="0"/>
        <w:jc w:val="center"/>
        <w:rPr>
          <w:rFonts w:ascii="Times New Roman" w:hAnsi="Times New Roman" w:cs="Times New Roman"/>
          <w:b/>
          <w:sz w:val="24"/>
          <w:szCs w:val="24"/>
        </w:rPr>
      </w:pPr>
      <w:r w:rsidRPr="003C064D">
        <w:rPr>
          <w:rFonts w:ascii="Times New Roman" w:hAnsi="Times New Roman" w:cs="Times New Roman"/>
          <w:b/>
          <w:sz w:val="24"/>
          <w:szCs w:val="24"/>
        </w:rPr>
        <w:t>Информационное сообщение о продаже имущества (далее – извещение)</w:t>
      </w:r>
    </w:p>
    <w:p w14:paraId="77E2037D" w14:textId="77777777" w:rsidR="00532700" w:rsidRPr="003C064D" w:rsidRDefault="00595EF9">
      <w:pPr>
        <w:spacing w:after="0"/>
        <w:jc w:val="center"/>
        <w:rPr>
          <w:rFonts w:ascii="Times New Roman" w:hAnsi="Times New Roman" w:cs="Times New Roman"/>
          <w:bCs/>
          <w:sz w:val="24"/>
          <w:szCs w:val="24"/>
        </w:rPr>
      </w:pPr>
      <w:r w:rsidRPr="003C064D">
        <w:rPr>
          <w:rFonts w:ascii="Times New Roman" w:hAnsi="Times New Roman" w:cs="Times New Roman"/>
          <w:bCs/>
          <w:sz w:val="24"/>
          <w:szCs w:val="24"/>
        </w:rPr>
        <w:t>о проведении аукциона в электронной форме</w:t>
      </w:r>
    </w:p>
    <w:p w14:paraId="34ACC02E" w14:textId="77777777" w:rsidR="00532700" w:rsidRPr="003C064D" w:rsidRDefault="00532700">
      <w:pPr>
        <w:spacing w:after="0" w:line="240" w:lineRule="auto"/>
        <w:jc w:val="center"/>
        <w:rPr>
          <w:rFonts w:ascii="Times New Roman" w:hAnsi="Times New Roman" w:cs="Times New Roman"/>
          <w:sz w:val="24"/>
          <w:szCs w:val="24"/>
        </w:rPr>
      </w:pPr>
    </w:p>
    <w:p w14:paraId="62558298" w14:textId="75930C3B"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 xml:space="preserve">Наименование процедуры: открытый аукцион по продаже нежилого здания, общей площадью </w:t>
      </w:r>
      <w:r w:rsidR="00194699" w:rsidRPr="003C064D">
        <w:rPr>
          <w:rFonts w:ascii="Times New Roman" w:hAnsi="Times New Roman" w:cs="Times New Roman"/>
          <w:sz w:val="24"/>
          <w:szCs w:val="24"/>
        </w:rPr>
        <w:t>585,9</w:t>
      </w:r>
      <w:r w:rsidRPr="003C064D">
        <w:rPr>
          <w:rFonts w:ascii="Times New Roman" w:hAnsi="Times New Roman" w:cs="Times New Roman"/>
          <w:sz w:val="24"/>
          <w:szCs w:val="24"/>
        </w:rPr>
        <w:t xml:space="preserve"> кв. м, кадастровый номер: 76:</w:t>
      </w:r>
      <w:r w:rsidR="00194699" w:rsidRPr="003C064D">
        <w:rPr>
          <w:rFonts w:ascii="Times New Roman" w:hAnsi="Times New Roman" w:cs="Times New Roman"/>
          <w:sz w:val="24"/>
          <w:szCs w:val="24"/>
        </w:rPr>
        <w:t>05</w:t>
      </w:r>
      <w:r w:rsidRPr="003C064D">
        <w:rPr>
          <w:rFonts w:ascii="Times New Roman" w:hAnsi="Times New Roman" w:cs="Times New Roman"/>
          <w:sz w:val="24"/>
          <w:szCs w:val="24"/>
        </w:rPr>
        <w:t>:</w:t>
      </w:r>
      <w:r w:rsidR="00194699" w:rsidRPr="003C064D">
        <w:rPr>
          <w:rFonts w:ascii="Times New Roman" w:hAnsi="Times New Roman" w:cs="Times New Roman"/>
          <w:sz w:val="24"/>
          <w:szCs w:val="24"/>
        </w:rPr>
        <w:t>010304</w:t>
      </w:r>
      <w:r w:rsidRPr="003C064D">
        <w:rPr>
          <w:rFonts w:ascii="Times New Roman" w:hAnsi="Times New Roman" w:cs="Times New Roman"/>
          <w:sz w:val="24"/>
          <w:szCs w:val="24"/>
        </w:rPr>
        <w:t>:</w:t>
      </w:r>
      <w:r w:rsidR="00194699" w:rsidRPr="003C064D">
        <w:rPr>
          <w:rFonts w:ascii="Times New Roman" w:hAnsi="Times New Roman" w:cs="Times New Roman"/>
          <w:sz w:val="24"/>
          <w:szCs w:val="24"/>
        </w:rPr>
        <w:t>151</w:t>
      </w:r>
      <w:r w:rsidRPr="003C064D">
        <w:rPr>
          <w:rFonts w:ascii="Times New Roman" w:hAnsi="Times New Roman" w:cs="Times New Roman"/>
          <w:sz w:val="24"/>
          <w:szCs w:val="24"/>
        </w:rPr>
        <w:t xml:space="preserve">, </w:t>
      </w:r>
      <w:r w:rsidRPr="003C064D">
        <w:rPr>
          <w:rFonts w:ascii="Times New Roman" w:hAnsi="Times New Roman" w:cs="Times New Roman"/>
          <w:sz w:val="24"/>
          <w:szCs w:val="24"/>
        </w:rPr>
        <w:br/>
        <w:t xml:space="preserve">с земельным участком, общей площадью </w:t>
      </w:r>
      <w:r w:rsidR="00194699" w:rsidRPr="003C064D">
        <w:rPr>
          <w:rFonts w:ascii="Times New Roman" w:hAnsi="Times New Roman" w:cs="Times New Roman"/>
          <w:sz w:val="24"/>
          <w:szCs w:val="24"/>
        </w:rPr>
        <w:t>913</w:t>
      </w:r>
      <w:r w:rsidRPr="003C064D">
        <w:rPr>
          <w:rFonts w:ascii="Times New Roman" w:hAnsi="Times New Roman" w:cs="Times New Roman"/>
          <w:sz w:val="24"/>
          <w:szCs w:val="24"/>
        </w:rPr>
        <w:t xml:space="preserve"> кв. м, кадастровый номер 76:</w:t>
      </w:r>
      <w:r w:rsidR="00194699" w:rsidRPr="003C064D">
        <w:rPr>
          <w:rFonts w:ascii="Times New Roman" w:hAnsi="Times New Roman" w:cs="Times New Roman"/>
          <w:sz w:val="24"/>
          <w:szCs w:val="24"/>
        </w:rPr>
        <w:t>05</w:t>
      </w:r>
      <w:r w:rsidRPr="003C064D">
        <w:rPr>
          <w:rFonts w:ascii="Times New Roman" w:hAnsi="Times New Roman" w:cs="Times New Roman"/>
          <w:sz w:val="24"/>
          <w:szCs w:val="24"/>
        </w:rPr>
        <w:t>:</w:t>
      </w:r>
      <w:r w:rsidR="00194699" w:rsidRPr="003C064D">
        <w:rPr>
          <w:rFonts w:ascii="Times New Roman" w:hAnsi="Times New Roman" w:cs="Times New Roman"/>
          <w:sz w:val="24"/>
          <w:szCs w:val="24"/>
        </w:rPr>
        <w:t>000000</w:t>
      </w:r>
      <w:r w:rsidRPr="003C064D">
        <w:rPr>
          <w:rFonts w:ascii="Times New Roman" w:hAnsi="Times New Roman" w:cs="Times New Roman"/>
          <w:sz w:val="24"/>
          <w:szCs w:val="24"/>
        </w:rPr>
        <w:t>:</w:t>
      </w:r>
      <w:r w:rsidR="00194699" w:rsidRPr="003C064D">
        <w:rPr>
          <w:rFonts w:ascii="Times New Roman" w:hAnsi="Times New Roman" w:cs="Times New Roman"/>
          <w:sz w:val="24"/>
          <w:szCs w:val="24"/>
        </w:rPr>
        <w:t>296</w:t>
      </w:r>
      <w:r w:rsidRPr="003C064D">
        <w:rPr>
          <w:rFonts w:ascii="Times New Roman" w:hAnsi="Times New Roman" w:cs="Times New Roman"/>
          <w:sz w:val="24"/>
          <w:szCs w:val="24"/>
        </w:rPr>
        <w:t xml:space="preserve">, расположенных по адресу: Ярославская область, </w:t>
      </w:r>
      <w:r w:rsidR="00194699" w:rsidRPr="003C064D">
        <w:rPr>
          <w:rFonts w:ascii="Times New Roman" w:hAnsi="Times New Roman" w:cs="Times New Roman"/>
          <w:sz w:val="24"/>
          <w:szCs w:val="24"/>
        </w:rPr>
        <w:t>Даниловский</w:t>
      </w:r>
      <w:r w:rsidRPr="003C064D">
        <w:rPr>
          <w:rFonts w:ascii="Times New Roman" w:hAnsi="Times New Roman" w:cs="Times New Roman"/>
          <w:sz w:val="24"/>
          <w:szCs w:val="24"/>
        </w:rPr>
        <w:t xml:space="preserve"> район, г. </w:t>
      </w:r>
      <w:r w:rsidR="00194699" w:rsidRPr="003C064D">
        <w:rPr>
          <w:rFonts w:ascii="Times New Roman" w:hAnsi="Times New Roman" w:cs="Times New Roman"/>
          <w:sz w:val="24"/>
          <w:szCs w:val="24"/>
        </w:rPr>
        <w:t>Данилов</w:t>
      </w:r>
      <w:r w:rsidRPr="003C064D">
        <w:rPr>
          <w:rFonts w:ascii="Times New Roman" w:hAnsi="Times New Roman" w:cs="Times New Roman"/>
          <w:sz w:val="24"/>
          <w:szCs w:val="24"/>
        </w:rPr>
        <w:t xml:space="preserve">, ул. </w:t>
      </w:r>
      <w:r w:rsidR="00194699" w:rsidRPr="003C064D">
        <w:rPr>
          <w:rFonts w:ascii="Times New Roman" w:hAnsi="Times New Roman" w:cs="Times New Roman"/>
          <w:sz w:val="24"/>
          <w:szCs w:val="24"/>
        </w:rPr>
        <w:t>Урицкого</w:t>
      </w:r>
      <w:r w:rsidRPr="003C064D">
        <w:rPr>
          <w:rFonts w:ascii="Times New Roman" w:hAnsi="Times New Roman" w:cs="Times New Roman"/>
          <w:sz w:val="24"/>
          <w:szCs w:val="24"/>
        </w:rPr>
        <w:t>, д.</w:t>
      </w:r>
      <w:r w:rsidR="00194699" w:rsidRPr="003C064D">
        <w:rPr>
          <w:rFonts w:ascii="Times New Roman" w:hAnsi="Times New Roman" w:cs="Times New Roman"/>
          <w:sz w:val="24"/>
          <w:szCs w:val="24"/>
        </w:rPr>
        <w:t>28</w:t>
      </w:r>
      <w:r w:rsidRPr="003C064D">
        <w:rPr>
          <w:rFonts w:ascii="Times New Roman" w:hAnsi="Times New Roman" w:cs="Times New Roman"/>
          <w:b/>
          <w:bCs/>
          <w:sz w:val="24"/>
          <w:szCs w:val="24"/>
        </w:rPr>
        <w:t xml:space="preserve"> (далее – имущество)</w:t>
      </w:r>
    </w:p>
    <w:p w14:paraId="057FF1EA" w14:textId="77777777" w:rsidR="00532700" w:rsidRPr="003C064D" w:rsidRDefault="00532700">
      <w:pPr>
        <w:spacing w:after="0" w:line="240" w:lineRule="auto"/>
        <w:jc w:val="center"/>
        <w:rPr>
          <w:rFonts w:ascii="Times New Roman" w:hAnsi="Times New Roman" w:cs="Times New Roman"/>
          <w:sz w:val="24"/>
          <w:szCs w:val="24"/>
        </w:rPr>
      </w:pPr>
    </w:p>
    <w:p w14:paraId="2906C74E" w14:textId="48BAE17E"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 xml:space="preserve">Организатор аукциона: </w:t>
      </w:r>
      <w:r w:rsidR="00417F13" w:rsidRPr="003C064D">
        <w:rPr>
          <w:rFonts w:ascii="Times New Roman" w:hAnsi="Times New Roman" w:cs="Times New Roman"/>
          <w:sz w:val="24"/>
          <w:szCs w:val="24"/>
        </w:rPr>
        <w:t>министерство конкурентной политики Ярославской области:150030, г. Ярославль, ул. Ползунова, д.15, контактный телефон: (4852) 78-62-62, электронный адрес: mkp@yarregion.ru.</w:t>
      </w:r>
    </w:p>
    <w:p w14:paraId="4992D72D" w14:textId="05C436E3" w:rsidR="00194699"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 xml:space="preserve">Инициатор аукциона (продавец имущества): </w:t>
      </w:r>
      <w:r w:rsidR="00194699" w:rsidRPr="003C064D">
        <w:rPr>
          <w:rFonts w:ascii="Times New Roman" w:hAnsi="Times New Roman" w:cs="Times New Roman"/>
          <w:sz w:val="24"/>
          <w:szCs w:val="24"/>
        </w:rPr>
        <w:t xml:space="preserve">отдел по муниципальному имуществу и земельным отношениям администрации городского поселения Данилов Ярославской области, место нахождения: 152070, г. Данилов, ул. Карла Маркса, д. 36, контактный тел. 8 (48538) 5-12-99, адрес электронной почты: </w:t>
      </w:r>
      <w:hyperlink r:id="rId7" w:history="1">
        <w:r w:rsidR="00194699" w:rsidRPr="003C064D">
          <w:rPr>
            <w:rStyle w:val="a5"/>
            <w:rFonts w:ascii="Times New Roman" w:hAnsi="Times New Roman" w:cs="Times New Roman"/>
            <w:sz w:val="24"/>
            <w:szCs w:val="24"/>
          </w:rPr>
          <w:t>gorod.danilov@yarregion.ru</w:t>
        </w:r>
      </w:hyperlink>
      <w:r w:rsidR="00194699" w:rsidRPr="003C064D">
        <w:rPr>
          <w:rFonts w:ascii="Times New Roman" w:hAnsi="Times New Roman" w:cs="Times New Roman"/>
          <w:sz w:val="24"/>
          <w:szCs w:val="24"/>
        </w:rPr>
        <w:t>.</w:t>
      </w:r>
    </w:p>
    <w:p w14:paraId="65414CE9" w14:textId="77777777" w:rsidR="00194699" w:rsidRPr="003C064D" w:rsidRDefault="00194699">
      <w:pPr>
        <w:spacing w:after="0" w:line="240" w:lineRule="auto"/>
        <w:jc w:val="both"/>
        <w:rPr>
          <w:rFonts w:ascii="Times New Roman" w:hAnsi="Times New Roman" w:cs="Times New Roman"/>
          <w:sz w:val="24"/>
          <w:szCs w:val="24"/>
        </w:rPr>
      </w:pPr>
    </w:p>
    <w:p w14:paraId="4F082A4A" w14:textId="77777777" w:rsidR="00D215CE" w:rsidRPr="00D215CE" w:rsidRDefault="00417F13" w:rsidP="00D215CE">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 xml:space="preserve">Оператор электронной площадки: </w:t>
      </w:r>
      <w:r w:rsidR="00D215CE" w:rsidRPr="00D215CE">
        <w:rPr>
          <w:rFonts w:ascii="Times New Roman" w:hAnsi="Times New Roman" w:cs="Times New Roman"/>
          <w:sz w:val="24"/>
          <w:szCs w:val="24"/>
        </w:rPr>
        <w:t>акционерное общество «Сбербанк - Автоматизированная система торгов» (АО «Сбербанк-АСТ»). Адрес: 119435, г. Москва, Большой Саввинский переулок, дом 12, стр. 9. Телефон: +7 (800) 302-29-99; +7 (495) 787-29-97/99. Почта: property@sberbank-ast.ru.</w:t>
      </w:r>
    </w:p>
    <w:p w14:paraId="074B3DBD" w14:textId="77777777" w:rsidR="00D215CE" w:rsidRPr="00D215CE" w:rsidRDefault="00D215CE" w:rsidP="00D215CE">
      <w:pPr>
        <w:spacing w:after="0" w:line="240" w:lineRule="auto"/>
        <w:jc w:val="both"/>
        <w:rPr>
          <w:rFonts w:ascii="Times New Roman" w:hAnsi="Times New Roman" w:cs="Times New Roman"/>
          <w:sz w:val="24"/>
          <w:szCs w:val="24"/>
        </w:rPr>
      </w:pPr>
      <w:r w:rsidRPr="00D215CE">
        <w:rPr>
          <w:rFonts w:ascii="Times New Roman" w:hAnsi="Times New Roman" w:cs="Times New Roman"/>
          <w:sz w:val="24"/>
          <w:szCs w:val="24"/>
        </w:rPr>
        <w:t>Место подачи и рассмотрения заявок, проведения торгов и подведения итогов: торговая секция «Приватизация, аренда и продажа прав» универсальной торговой платформы (УТП) АО «Сбербанк-АСТ» с учетом Регламента электронной площадки.  Адрес сайта в сети Интернет: http://utp.sberbank-ast.ru (далее - ЭТП»).</w:t>
      </w:r>
    </w:p>
    <w:p w14:paraId="675ED5C0" w14:textId="6C8C41DE" w:rsidR="00532700" w:rsidRPr="003C064D" w:rsidRDefault="00532700">
      <w:pPr>
        <w:spacing w:after="0" w:line="240" w:lineRule="auto"/>
        <w:jc w:val="both"/>
        <w:rPr>
          <w:rFonts w:ascii="Times New Roman" w:hAnsi="Times New Roman" w:cs="Times New Roman"/>
          <w:sz w:val="24"/>
          <w:szCs w:val="24"/>
        </w:rPr>
      </w:pPr>
    </w:p>
    <w:p w14:paraId="6A15FA19" w14:textId="77777777" w:rsidR="00194699" w:rsidRPr="003C064D" w:rsidRDefault="00194699">
      <w:pPr>
        <w:spacing w:after="0" w:line="240" w:lineRule="auto"/>
        <w:jc w:val="both"/>
        <w:rPr>
          <w:rFonts w:ascii="Times New Roman" w:hAnsi="Times New Roman" w:cs="Times New Roman"/>
          <w:sz w:val="24"/>
          <w:szCs w:val="24"/>
        </w:rPr>
      </w:pPr>
    </w:p>
    <w:p w14:paraId="3C3B1B7D"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Сроки проведения процедуры: (время московское)</w:t>
      </w:r>
    </w:p>
    <w:tbl>
      <w:tblPr>
        <w:tblStyle w:val="ae"/>
        <w:tblW w:w="0" w:type="auto"/>
        <w:tblLook w:val="04A0" w:firstRow="1" w:lastRow="0" w:firstColumn="1" w:lastColumn="0" w:noHBand="0" w:noVBand="1"/>
      </w:tblPr>
      <w:tblGrid>
        <w:gridCol w:w="5382"/>
        <w:gridCol w:w="3963"/>
      </w:tblGrid>
      <w:tr w:rsidR="00532700" w:rsidRPr="003C064D" w14:paraId="4C43AF58" w14:textId="77777777">
        <w:tc>
          <w:tcPr>
            <w:tcW w:w="5382" w:type="dxa"/>
          </w:tcPr>
          <w:p w14:paraId="429A6419"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Дата и время начала подачи заявок:</w:t>
            </w:r>
          </w:p>
        </w:tc>
        <w:tc>
          <w:tcPr>
            <w:tcW w:w="3963" w:type="dxa"/>
          </w:tcPr>
          <w:p w14:paraId="37FEFD2E" w14:textId="116AD887" w:rsidR="00532700" w:rsidRPr="003C064D" w:rsidRDefault="00D215CE">
            <w:pPr>
              <w:spacing w:after="0" w:line="240" w:lineRule="auto"/>
              <w:jc w:val="both"/>
              <w:rPr>
                <w:rFonts w:ascii="Times New Roman" w:hAnsi="Times New Roman" w:cs="Times New Roman"/>
                <w:sz w:val="24"/>
                <w:szCs w:val="24"/>
              </w:rPr>
            </w:pPr>
            <w:r w:rsidRPr="00D215CE">
              <w:rPr>
                <w:rFonts w:ascii="Times New Roman" w:hAnsi="Times New Roman" w:cs="Times New Roman"/>
                <w:sz w:val="24"/>
                <w:szCs w:val="24"/>
              </w:rPr>
              <w:t>21.10.2025 1</w:t>
            </w:r>
            <w:r w:rsidR="00072B47">
              <w:rPr>
                <w:rFonts w:ascii="Times New Roman" w:hAnsi="Times New Roman" w:cs="Times New Roman"/>
                <w:sz w:val="24"/>
                <w:szCs w:val="24"/>
              </w:rPr>
              <w:t>9</w:t>
            </w:r>
            <w:r w:rsidRPr="00D215CE">
              <w:rPr>
                <w:rFonts w:ascii="Times New Roman" w:hAnsi="Times New Roman" w:cs="Times New Roman"/>
                <w:sz w:val="24"/>
                <w:szCs w:val="24"/>
              </w:rPr>
              <w:t>:00:00</w:t>
            </w:r>
          </w:p>
        </w:tc>
      </w:tr>
      <w:tr w:rsidR="00532700" w:rsidRPr="003C064D" w14:paraId="3A9D3E71" w14:textId="77777777">
        <w:tc>
          <w:tcPr>
            <w:tcW w:w="5382" w:type="dxa"/>
          </w:tcPr>
          <w:p w14:paraId="5BAA9071"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Дата и время окончания подачи заявок:</w:t>
            </w:r>
          </w:p>
        </w:tc>
        <w:tc>
          <w:tcPr>
            <w:tcW w:w="3963" w:type="dxa"/>
          </w:tcPr>
          <w:p w14:paraId="39743836" w14:textId="6EE3CC54" w:rsidR="00532700" w:rsidRPr="003C064D" w:rsidRDefault="00D215CE">
            <w:pPr>
              <w:spacing w:after="0" w:line="240" w:lineRule="auto"/>
              <w:jc w:val="both"/>
              <w:rPr>
                <w:rFonts w:ascii="Times New Roman" w:hAnsi="Times New Roman" w:cs="Times New Roman"/>
                <w:sz w:val="24"/>
                <w:szCs w:val="24"/>
              </w:rPr>
            </w:pPr>
            <w:r>
              <w:rPr>
                <w:rFonts w:ascii="Segoe UI" w:hAnsi="Segoe UI" w:cs="Segoe UI"/>
                <w:color w:val="000000"/>
                <w:sz w:val="20"/>
                <w:szCs w:val="20"/>
                <w:shd w:val="clear" w:color="auto" w:fill="FFFFFF"/>
              </w:rPr>
              <w:t>21.11.2025 10:00:00</w:t>
            </w:r>
          </w:p>
        </w:tc>
      </w:tr>
      <w:tr w:rsidR="00532700" w:rsidRPr="003C064D" w14:paraId="7F400513" w14:textId="77777777">
        <w:tc>
          <w:tcPr>
            <w:tcW w:w="5382" w:type="dxa"/>
          </w:tcPr>
          <w:p w14:paraId="3D715230"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Дата рассмотрения заявок:</w:t>
            </w:r>
          </w:p>
        </w:tc>
        <w:tc>
          <w:tcPr>
            <w:tcW w:w="3963" w:type="dxa"/>
          </w:tcPr>
          <w:p w14:paraId="3F6ACCCF" w14:textId="095CF564" w:rsidR="00532700" w:rsidRPr="003C064D" w:rsidRDefault="00D215CE">
            <w:pPr>
              <w:spacing w:after="0" w:line="240" w:lineRule="auto"/>
              <w:jc w:val="both"/>
              <w:rPr>
                <w:rFonts w:ascii="Times New Roman" w:hAnsi="Times New Roman" w:cs="Times New Roman"/>
                <w:sz w:val="24"/>
                <w:szCs w:val="24"/>
              </w:rPr>
            </w:pPr>
            <w:r w:rsidRPr="00D215CE">
              <w:rPr>
                <w:rFonts w:ascii="Times New Roman" w:hAnsi="Times New Roman" w:cs="Times New Roman"/>
                <w:sz w:val="24"/>
                <w:szCs w:val="24"/>
              </w:rPr>
              <w:t>25.11.2025</w:t>
            </w:r>
          </w:p>
        </w:tc>
      </w:tr>
      <w:tr w:rsidR="00532700" w:rsidRPr="003C064D" w14:paraId="69BCEDF7" w14:textId="77777777">
        <w:tc>
          <w:tcPr>
            <w:tcW w:w="5382" w:type="dxa"/>
          </w:tcPr>
          <w:p w14:paraId="560FAEF9"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Дата и время начала проведения аукциона:</w:t>
            </w:r>
          </w:p>
        </w:tc>
        <w:tc>
          <w:tcPr>
            <w:tcW w:w="3963" w:type="dxa"/>
          </w:tcPr>
          <w:p w14:paraId="32B87713" w14:textId="22DFBF1D" w:rsidR="00532700" w:rsidRPr="003C064D" w:rsidRDefault="00D215CE">
            <w:pPr>
              <w:spacing w:after="0" w:line="240" w:lineRule="auto"/>
              <w:jc w:val="both"/>
              <w:rPr>
                <w:rFonts w:ascii="Times New Roman" w:hAnsi="Times New Roman" w:cs="Times New Roman"/>
                <w:sz w:val="24"/>
                <w:szCs w:val="24"/>
              </w:rPr>
            </w:pPr>
            <w:r w:rsidRPr="00D215CE">
              <w:rPr>
                <w:rFonts w:ascii="Times New Roman" w:hAnsi="Times New Roman" w:cs="Times New Roman"/>
                <w:sz w:val="24"/>
                <w:szCs w:val="24"/>
              </w:rPr>
              <w:t>27.11.2025 10:00:00</w:t>
            </w:r>
          </w:p>
        </w:tc>
      </w:tr>
      <w:tr w:rsidR="00532700" w:rsidRPr="003C064D" w14:paraId="661940EB" w14:textId="77777777">
        <w:tc>
          <w:tcPr>
            <w:tcW w:w="5382" w:type="dxa"/>
          </w:tcPr>
          <w:p w14:paraId="10020350"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Дата подведения итогов аукциона:</w:t>
            </w:r>
          </w:p>
        </w:tc>
        <w:tc>
          <w:tcPr>
            <w:tcW w:w="3963" w:type="dxa"/>
          </w:tcPr>
          <w:p w14:paraId="3845BABA"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Итоги аукциона подводятся непосредственно после окончания процедуры проведения аукциона</w:t>
            </w:r>
          </w:p>
        </w:tc>
      </w:tr>
    </w:tbl>
    <w:p w14:paraId="71DC5EEB" w14:textId="77777777" w:rsidR="00532700" w:rsidRPr="003C064D" w:rsidRDefault="00532700">
      <w:pPr>
        <w:spacing w:after="0" w:line="240" w:lineRule="auto"/>
        <w:jc w:val="both"/>
        <w:rPr>
          <w:rFonts w:ascii="Times New Roman" w:hAnsi="Times New Roman" w:cs="Times New Roman"/>
          <w:sz w:val="24"/>
          <w:szCs w:val="24"/>
        </w:rPr>
      </w:pPr>
    </w:p>
    <w:tbl>
      <w:tblPr>
        <w:tblStyle w:val="ae"/>
        <w:tblW w:w="9356" w:type="dxa"/>
        <w:tblInd w:w="-5" w:type="dxa"/>
        <w:tblLook w:val="04A0" w:firstRow="1" w:lastRow="0" w:firstColumn="1" w:lastColumn="0" w:noHBand="0" w:noVBand="1"/>
      </w:tblPr>
      <w:tblGrid>
        <w:gridCol w:w="3261"/>
        <w:gridCol w:w="6095"/>
      </w:tblGrid>
      <w:tr w:rsidR="00532700" w:rsidRPr="003C064D" w14:paraId="01FF36A3" w14:textId="77777777">
        <w:tc>
          <w:tcPr>
            <w:tcW w:w="3261" w:type="dxa"/>
          </w:tcPr>
          <w:p w14:paraId="2E325EA0" w14:textId="77777777" w:rsidR="00532700" w:rsidRPr="003C064D" w:rsidRDefault="00595EF9">
            <w:pPr>
              <w:spacing w:after="0" w:line="240" w:lineRule="auto"/>
              <w:rPr>
                <w:rFonts w:ascii="Times New Roman" w:hAnsi="Times New Roman" w:cs="Times New Roman"/>
                <w:sz w:val="24"/>
                <w:szCs w:val="24"/>
              </w:rPr>
            </w:pPr>
            <w:r w:rsidRPr="003C064D">
              <w:rPr>
                <w:rFonts w:ascii="Times New Roman" w:hAnsi="Times New Roman" w:cs="Times New Roman"/>
                <w:sz w:val="24"/>
                <w:szCs w:val="24"/>
              </w:rPr>
              <w:t xml:space="preserve">Начальная цена продажи </w:t>
            </w:r>
          </w:p>
        </w:tc>
        <w:tc>
          <w:tcPr>
            <w:tcW w:w="6095" w:type="dxa"/>
          </w:tcPr>
          <w:p w14:paraId="5D64E056" w14:textId="428E05E0" w:rsidR="00532700" w:rsidRPr="003C064D" w:rsidRDefault="005D68E9">
            <w:pPr>
              <w:spacing w:after="0" w:line="240" w:lineRule="auto"/>
              <w:rPr>
                <w:rFonts w:ascii="Times New Roman" w:hAnsi="Times New Roman" w:cs="Times New Roman"/>
                <w:sz w:val="24"/>
                <w:szCs w:val="24"/>
              </w:rPr>
            </w:pPr>
            <w:r w:rsidRPr="003C064D">
              <w:rPr>
                <w:rFonts w:ascii="Times New Roman" w:hAnsi="Times New Roman" w:cs="Times New Roman"/>
                <w:sz w:val="24"/>
                <w:szCs w:val="24"/>
              </w:rPr>
              <w:t>6 101 000,00</w:t>
            </w:r>
          </w:p>
        </w:tc>
      </w:tr>
      <w:tr w:rsidR="00532700" w:rsidRPr="003C064D" w14:paraId="07D72129" w14:textId="77777777">
        <w:tc>
          <w:tcPr>
            <w:tcW w:w="3261" w:type="dxa"/>
          </w:tcPr>
          <w:p w14:paraId="36DFB434" w14:textId="77777777" w:rsidR="00532700" w:rsidRPr="003C064D" w:rsidRDefault="00595EF9">
            <w:pPr>
              <w:spacing w:after="0" w:line="240" w:lineRule="auto"/>
              <w:ind w:left="600" w:hanging="600"/>
              <w:jc w:val="both"/>
              <w:rPr>
                <w:rFonts w:ascii="Times New Roman" w:hAnsi="Times New Roman" w:cs="Times New Roman"/>
                <w:sz w:val="24"/>
                <w:szCs w:val="24"/>
              </w:rPr>
            </w:pPr>
            <w:r w:rsidRPr="003C064D">
              <w:rPr>
                <w:rFonts w:ascii="Times New Roman" w:hAnsi="Times New Roman" w:cs="Times New Roman"/>
                <w:sz w:val="24"/>
                <w:szCs w:val="24"/>
              </w:rPr>
              <w:t>НДС</w:t>
            </w:r>
          </w:p>
        </w:tc>
        <w:tc>
          <w:tcPr>
            <w:tcW w:w="6095" w:type="dxa"/>
          </w:tcPr>
          <w:p w14:paraId="3F10F015" w14:textId="77777777" w:rsidR="00532700" w:rsidRPr="003C064D" w:rsidRDefault="00595EF9">
            <w:pPr>
              <w:spacing w:after="0" w:line="240" w:lineRule="auto"/>
              <w:jc w:val="both"/>
              <w:rPr>
                <w:rFonts w:ascii="Times New Roman" w:hAnsi="Times New Roman" w:cs="Times New Roman"/>
                <w:b/>
                <w:i/>
                <w:sz w:val="24"/>
                <w:szCs w:val="24"/>
              </w:rPr>
            </w:pPr>
            <w:r w:rsidRPr="003C064D">
              <w:rPr>
                <w:rFonts w:ascii="Times New Roman" w:hAnsi="Times New Roman" w:cs="Times New Roman"/>
                <w:sz w:val="24"/>
                <w:szCs w:val="24"/>
              </w:rPr>
              <w:t>Нежилое здание (С учетом НДС), земельный участок (Без НДС)</w:t>
            </w:r>
          </w:p>
        </w:tc>
      </w:tr>
      <w:tr w:rsidR="00532700" w:rsidRPr="003C064D" w14:paraId="141AA831" w14:textId="77777777">
        <w:tc>
          <w:tcPr>
            <w:tcW w:w="3261" w:type="dxa"/>
          </w:tcPr>
          <w:p w14:paraId="631FD8F7"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Шаг аукциона</w:t>
            </w:r>
          </w:p>
        </w:tc>
        <w:tc>
          <w:tcPr>
            <w:tcW w:w="6095" w:type="dxa"/>
          </w:tcPr>
          <w:p w14:paraId="57D368FA" w14:textId="5F530623" w:rsidR="00532700" w:rsidRPr="003C064D" w:rsidRDefault="005D68E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305 050,00</w:t>
            </w:r>
            <w:r w:rsidR="00595EF9" w:rsidRPr="003C064D">
              <w:rPr>
                <w:rFonts w:ascii="Times New Roman" w:hAnsi="Times New Roman" w:cs="Times New Roman"/>
                <w:sz w:val="24"/>
                <w:szCs w:val="24"/>
              </w:rPr>
              <w:t xml:space="preserve"> рублей*</w:t>
            </w:r>
          </w:p>
          <w:p w14:paraId="646F1237" w14:textId="77777777" w:rsidR="00532700" w:rsidRPr="003C064D" w:rsidRDefault="00595EF9">
            <w:pPr>
              <w:spacing w:after="0" w:line="240" w:lineRule="auto"/>
              <w:jc w:val="both"/>
              <w:rPr>
                <w:rFonts w:ascii="Times New Roman" w:hAnsi="Times New Roman" w:cs="Times New Roman"/>
                <w:b/>
                <w:i/>
                <w:sz w:val="24"/>
                <w:szCs w:val="24"/>
              </w:rPr>
            </w:pPr>
            <w:r w:rsidRPr="003C064D">
              <w:rPr>
                <w:rFonts w:ascii="Times New Roman" w:hAnsi="Times New Roman" w:cs="Times New Roman"/>
                <w:b/>
                <w:i/>
                <w:sz w:val="24"/>
                <w:szCs w:val="24"/>
              </w:rPr>
              <w:t>*устанавливается в пределах 5% начальной цены предмета аукциона</w:t>
            </w:r>
          </w:p>
        </w:tc>
      </w:tr>
      <w:tr w:rsidR="00532700" w:rsidRPr="003C064D" w14:paraId="47D56B82" w14:textId="77777777">
        <w:tc>
          <w:tcPr>
            <w:tcW w:w="3261" w:type="dxa"/>
          </w:tcPr>
          <w:p w14:paraId="5DB31BF7"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Размер задатка</w:t>
            </w:r>
          </w:p>
        </w:tc>
        <w:tc>
          <w:tcPr>
            <w:tcW w:w="6095" w:type="dxa"/>
          </w:tcPr>
          <w:p w14:paraId="3B44CD77" w14:textId="56BC3ACD" w:rsidR="00532700" w:rsidRPr="003C064D" w:rsidRDefault="005D68E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610 100,00</w:t>
            </w:r>
            <w:r w:rsidR="00595EF9" w:rsidRPr="003C064D">
              <w:rPr>
                <w:rFonts w:ascii="Times New Roman" w:hAnsi="Times New Roman" w:cs="Times New Roman"/>
                <w:sz w:val="24"/>
                <w:szCs w:val="24"/>
              </w:rPr>
              <w:t xml:space="preserve"> рублей*</w:t>
            </w:r>
          </w:p>
          <w:p w14:paraId="598B15F0" w14:textId="77777777" w:rsidR="00532700" w:rsidRPr="003C064D" w:rsidRDefault="00595EF9">
            <w:pPr>
              <w:spacing w:after="0" w:line="240" w:lineRule="auto"/>
              <w:jc w:val="both"/>
              <w:rPr>
                <w:rFonts w:ascii="Times New Roman" w:hAnsi="Times New Roman" w:cs="Times New Roman"/>
                <w:b/>
                <w:i/>
                <w:sz w:val="24"/>
                <w:szCs w:val="24"/>
              </w:rPr>
            </w:pPr>
            <w:r w:rsidRPr="003C064D">
              <w:rPr>
                <w:rFonts w:ascii="Times New Roman" w:hAnsi="Times New Roman" w:cs="Times New Roman"/>
                <w:b/>
                <w:i/>
                <w:sz w:val="24"/>
                <w:szCs w:val="24"/>
              </w:rPr>
              <w:t>*устанавливается в пределах 10% начальной цены предмета аукциона</w:t>
            </w:r>
          </w:p>
        </w:tc>
      </w:tr>
    </w:tbl>
    <w:p w14:paraId="0DE542E3" w14:textId="77777777" w:rsidR="00532700" w:rsidRPr="003C064D" w:rsidRDefault="00532700">
      <w:pPr>
        <w:spacing w:after="0" w:line="240" w:lineRule="auto"/>
        <w:jc w:val="both"/>
        <w:rPr>
          <w:rFonts w:ascii="Times New Roman" w:hAnsi="Times New Roman" w:cs="Times New Roman"/>
          <w:sz w:val="24"/>
          <w:szCs w:val="24"/>
        </w:rPr>
      </w:pPr>
    </w:p>
    <w:p w14:paraId="2F43AC19"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Порядок регистрации для участия в торгах:</w:t>
      </w:r>
    </w:p>
    <w:p w14:paraId="522E064F"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Регистрация на официальном сайте ГИС Торги (https://torgi.gov.ru) автоматически и бесплатно создает личный кабинет на электронной площадке для участия в торгах. Регистрация осуществляется с применением электронной подписи, которая оформлена в соответствии с требованиями действующего законодательства.</w:t>
      </w:r>
    </w:p>
    <w:p w14:paraId="4AB4ECA0" w14:textId="0612ABAA" w:rsidR="00532700" w:rsidRPr="003C064D" w:rsidRDefault="00595EF9">
      <w:pPr>
        <w:spacing w:after="0" w:line="240" w:lineRule="auto"/>
        <w:jc w:val="both"/>
        <w:rPr>
          <w:rFonts w:ascii="Times New Roman" w:hAnsi="Times New Roman" w:cs="Times New Roman"/>
          <w:sz w:val="24"/>
          <w:szCs w:val="24"/>
        </w:rPr>
      </w:pPr>
      <w:proofErr w:type="gramStart"/>
      <w:r w:rsidRPr="003C064D">
        <w:rPr>
          <w:rFonts w:ascii="Times New Roman" w:hAnsi="Times New Roman" w:cs="Times New Roman"/>
          <w:sz w:val="24"/>
          <w:szCs w:val="24"/>
        </w:rPr>
        <w:lastRenderedPageBreak/>
        <w:t>Зарегистрироваться можно</w:t>
      </w:r>
      <w:proofErr w:type="gramEnd"/>
      <w:r w:rsidRPr="003C064D">
        <w:rPr>
          <w:rFonts w:ascii="Times New Roman" w:hAnsi="Times New Roman" w:cs="Times New Roman"/>
          <w:sz w:val="24"/>
          <w:szCs w:val="24"/>
        </w:rPr>
        <w:t xml:space="preserve"> пройдя по ссылке: https://torgi.gov.ru/new/public. Информационные материалы по регистрации доступны: </w:t>
      </w:r>
      <w:hyperlink r:id="rId8" w:history="1">
        <w:r w:rsidR="00417F13" w:rsidRPr="003C064D">
          <w:rPr>
            <w:rStyle w:val="a5"/>
            <w:rFonts w:ascii="Times New Roman" w:hAnsi="Times New Roman" w:cs="Times New Roman"/>
            <w:sz w:val="24"/>
            <w:szCs w:val="24"/>
          </w:rPr>
          <w:t>https://torgi.gov.ru/new/public/infomaterials/reg</w:t>
        </w:r>
      </w:hyperlink>
      <w:r w:rsidR="00417F13" w:rsidRPr="003C064D">
        <w:rPr>
          <w:rFonts w:ascii="Times New Roman" w:hAnsi="Times New Roman" w:cs="Times New Roman"/>
          <w:sz w:val="24"/>
          <w:szCs w:val="24"/>
        </w:rPr>
        <w:t xml:space="preserve"> </w:t>
      </w:r>
      <w:r w:rsidRPr="003C064D">
        <w:rPr>
          <w:rFonts w:ascii="Times New Roman" w:hAnsi="Times New Roman" w:cs="Times New Roman"/>
          <w:sz w:val="24"/>
          <w:szCs w:val="24"/>
        </w:rPr>
        <w:t>.</w:t>
      </w:r>
    </w:p>
    <w:p w14:paraId="5DB9A072" w14:textId="77777777" w:rsidR="00417F13" w:rsidRPr="003C064D" w:rsidRDefault="00417F13" w:rsidP="00417F13">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В случае регистрации на ЭТП:</w:t>
      </w:r>
    </w:p>
    <w:p w14:paraId="60C692E6" w14:textId="77777777" w:rsidR="00D215CE" w:rsidRPr="00D215CE" w:rsidRDefault="00D215CE" w:rsidP="008072BF">
      <w:pPr>
        <w:spacing w:after="0" w:line="240" w:lineRule="auto"/>
        <w:ind w:firstLine="708"/>
        <w:jc w:val="both"/>
        <w:rPr>
          <w:rFonts w:ascii="Times New Roman" w:hAnsi="Times New Roman" w:cs="Times New Roman"/>
          <w:sz w:val="24"/>
          <w:szCs w:val="24"/>
        </w:rPr>
      </w:pPr>
      <w:r w:rsidRPr="00D215CE">
        <w:rPr>
          <w:rFonts w:ascii="Times New Roman" w:hAnsi="Times New Roman" w:cs="Times New Roman"/>
          <w:sz w:val="24"/>
          <w:szCs w:val="24"/>
        </w:rPr>
        <w:t>Порядок регистрации Участников ЭТП:</w:t>
      </w:r>
    </w:p>
    <w:p w14:paraId="3CFE5C98" w14:textId="77777777" w:rsidR="00D215CE" w:rsidRPr="00D215CE" w:rsidRDefault="00D215CE" w:rsidP="008072BF">
      <w:pPr>
        <w:spacing w:after="0" w:line="240" w:lineRule="auto"/>
        <w:ind w:firstLine="708"/>
        <w:jc w:val="both"/>
        <w:rPr>
          <w:rFonts w:ascii="Times New Roman" w:hAnsi="Times New Roman" w:cs="Times New Roman"/>
          <w:sz w:val="24"/>
          <w:szCs w:val="24"/>
        </w:rPr>
      </w:pPr>
      <w:r w:rsidRPr="00D215CE">
        <w:rPr>
          <w:rFonts w:ascii="Times New Roman" w:hAnsi="Times New Roman" w:cs="Times New Roman"/>
          <w:sz w:val="24"/>
          <w:szCs w:val="24"/>
        </w:rPr>
        <w:t>Оператор электронной площадки - АО «Сбербанк-АСТ» (далее Оператор) размещает в открытой части ЭТП документы, необходимые для регистрации:</w:t>
      </w:r>
    </w:p>
    <w:p w14:paraId="0533014C" w14:textId="77777777" w:rsidR="00D215CE" w:rsidRPr="00D215CE" w:rsidRDefault="00D215CE" w:rsidP="008072BF">
      <w:pPr>
        <w:spacing w:after="0" w:line="240" w:lineRule="auto"/>
        <w:ind w:firstLine="708"/>
        <w:jc w:val="both"/>
        <w:rPr>
          <w:rFonts w:ascii="Times New Roman" w:hAnsi="Times New Roman" w:cs="Times New Roman"/>
          <w:sz w:val="24"/>
          <w:szCs w:val="24"/>
        </w:rPr>
      </w:pPr>
      <w:r w:rsidRPr="00D215CE">
        <w:rPr>
          <w:rFonts w:ascii="Times New Roman" w:hAnsi="Times New Roman" w:cs="Times New Roman"/>
          <w:sz w:val="24"/>
          <w:szCs w:val="24"/>
        </w:rPr>
        <w:t>- форму заявления на регистрацию на УТП;</w:t>
      </w:r>
    </w:p>
    <w:p w14:paraId="10C57E6E" w14:textId="77777777" w:rsidR="00D215CE" w:rsidRPr="00D215CE" w:rsidRDefault="00D215CE" w:rsidP="008072BF">
      <w:pPr>
        <w:spacing w:after="0" w:line="240" w:lineRule="auto"/>
        <w:ind w:firstLine="708"/>
        <w:jc w:val="both"/>
        <w:rPr>
          <w:rFonts w:ascii="Times New Roman" w:hAnsi="Times New Roman" w:cs="Times New Roman"/>
          <w:sz w:val="24"/>
          <w:szCs w:val="24"/>
        </w:rPr>
      </w:pPr>
      <w:r w:rsidRPr="00D215CE">
        <w:rPr>
          <w:rFonts w:ascii="Times New Roman" w:hAnsi="Times New Roman" w:cs="Times New Roman"/>
          <w:sz w:val="24"/>
          <w:szCs w:val="24"/>
        </w:rPr>
        <w:t>- Регламент в действующей редакции.</w:t>
      </w:r>
    </w:p>
    <w:p w14:paraId="038FEFD2" w14:textId="77777777" w:rsidR="00D215CE" w:rsidRPr="00D215CE" w:rsidRDefault="00D215CE" w:rsidP="008072BF">
      <w:pPr>
        <w:spacing w:after="0" w:line="240" w:lineRule="auto"/>
        <w:ind w:firstLine="708"/>
        <w:jc w:val="both"/>
        <w:rPr>
          <w:rFonts w:ascii="Times New Roman" w:hAnsi="Times New Roman" w:cs="Times New Roman"/>
          <w:sz w:val="24"/>
          <w:szCs w:val="24"/>
        </w:rPr>
      </w:pPr>
      <w:r w:rsidRPr="00D215CE">
        <w:rPr>
          <w:rFonts w:ascii="Times New Roman" w:hAnsi="Times New Roman" w:cs="Times New Roman"/>
          <w:sz w:val="24"/>
          <w:szCs w:val="24"/>
        </w:rPr>
        <w:t>Предусмотрены формы заявления на регистрацию юридического лица и на регистрацию физического лица, в том числе индивидуального предпринимателя. Предусмотрены форма заявления с применением электронной подписи (ЭП) и форма заявления без применения ЭП.</w:t>
      </w:r>
    </w:p>
    <w:p w14:paraId="43F0050F" w14:textId="77777777" w:rsidR="00D215CE" w:rsidRPr="00D215CE" w:rsidRDefault="00D215CE" w:rsidP="008072BF">
      <w:pPr>
        <w:spacing w:after="0" w:line="240" w:lineRule="auto"/>
        <w:ind w:firstLine="708"/>
        <w:jc w:val="both"/>
        <w:rPr>
          <w:rFonts w:ascii="Times New Roman" w:hAnsi="Times New Roman" w:cs="Times New Roman"/>
          <w:sz w:val="24"/>
          <w:szCs w:val="24"/>
        </w:rPr>
      </w:pPr>
      <w:r w:rsidRPr="00D215CE">
        <w:rPr>
          <w:rFonts w:ascii="Times New Roman" w:hAnsi="Times New Roman" w:cs="Times New Roman"/>
          <w:sz w:val="24"/>
          <w:szCs w:val="24"/>
        </w:rPr>
        <w:t>Заявление на регистрацию в Торговой Секции (ТС) с полномочиями «Претендент (Участник)» вправе подать пользователь, зарегистрированный на УТП с ЭП, являющийся юридическим лицом или физическим лицом, в том числе индивидуальным предпринимателем.</w:t>
      </w:r>
    </w:p>
    <w:p w14:paraId="69FEEC02" w14:textId="77777777" w:rsidR="00D215CE" w:rsidRPr="00D215CE" w:rsidRDefault="00D215CE" w:rsidP="008072BF">
      <w:pPr>
        <w:spacing w:after="0" w:line="240" w:lineRule="auto"/>
        <w:ind w:firstLine="708"/>
        <w:jc w:val="both"/>
        <w:rPr>
          <w:rFonts w:ascii="Times New Roman" w:hAnsi="Times New Roman" w:cs="Times New Roman"/>
          <w:sz w:val="24"/>
          <w:szCs w:val="24"/>
        </w:rPr>
      </w:pPr>
      <w:r w:rsidRPr="00D215CE">
        <w:rPr>
          <w:rFonts w:ascii="Times New Roman" w:hAnsi="Times New Roman" w:cs="Times New Roman"/>
          <w:sz w:val="24"/>
          <w:szCs w:val="24"/>
        </w:rPr>
        <w:t>Регистрация пользователя в ТС в качестве Претендента (Участника) производится автоматически после подписания ЭП формы заявления.</w:t>
      </w:r>
    </w:p>
    <w:p w14:paraId="73B10794" w14:textId="77777777" w:rsidR="00D215CE" w:rsidRPr="00D215CE" w:rsidRDefault="00D215CE" w:rsidP="00D215CE">
      <w:pPr>
        <w:spacing w:after="0" w:line="240" w:lineRule="auto"/>
        <w:ind w:firstLine="708"/>
        <w:jc w:val="both"/>
        <w:rPr>
          <w:rFonts w:ascii="Times New Roman" w:hAnsi="Times New Roman" w:cs="Times New Roman"/>
          <w:sz w:val="24"/>
          <w:szCs w:val="24"/>
        </w:rPr>
      </w:pPr>
      <w:r w:rsidRPr="00D215CE">
        <w:rPr>
          <w:rFonts w:ascii="Times New Roman" w:hAnsi="Times New Roman" w:cs="Times New Roman"/>
          <w:sz w:val="24"/>
          <w:szCs w:val="24"/>
        </w:rPr>
        <w:t xml:space="preserve">В случае возникновения вопросов по порядку принятия участия в торгах вы можете обратиться за бесплатной консультацией к контактному лицу министерства конкурентной политики Ярославской области: Бирчикова Алина Александровна, 8 (4852) 59-41-59 (8208), </w:t>
      </w:r>
      <w:hyperlink r:id="rId9" w:history="1">
        <w:r w:rsidRPr="00D215CE">
          <w:rPr>
            <w:rFonts w:ascii="Times New Roman" w:hAnsi="Times New Roman" w:cs="Times New Roman"/>
            <w:sz w:val="24"/>
            <w:szCs w:val="24"/>
          </w:rPr>
          <w:t>birchikovaaa@yarregion.ru</w:t>
        </w:r>
      </w:hyperlink>
      <w:r w:rsidRPr="00D215CE">
        <w:rPr>
          <w:rFonts w:ascii="Times New Roman" w:hAnsi="Times New Roman" w:cs="Times New Roman"/>
          <w:sz w:val="24"/>
          <w:szCs w:val="24"/>
        </w:rPr>
        <w:t>.</w:t>
      </w:r>
    </w:p>
    <w:tbl>
      <w:tblPr>
        <w:tblStyle w:val="ae"/>
        <w:tblW w:w="0" w:type="auto"/>
        <w:jc w:val="center"/>
        <w:tblLook w:val="04A0" w:firstRow="1" w:lastRow="0" w:firstColumn="1" w:lastColumn="0" w:noHBand="0" w:noVBand="1"/>
      </w:tblPr>
      <w:tblGrid>
        <w:gridCol w:w="776"/>
        <w:gridCol w:w="3047"/>
        <w:gridCol w:w="5522"/>
      </w:tblGrid>
      <w:tr w:rsidR="00532700" w:rsidRPr="003C064D" w14:paraId="7DC1EB34" w14:textId="77777777" w:rsidTr="00B648DC">
        <w:trPr>
          <w:jc w:val="center"/>
        </w:trPr>
        <w:tc>
          <w:tcPr>
            <w:tcW w:w="776" w:type="dxa"/>
            <w:vAlign w:val="center"/>
          </w:tcPr>
          <w:p w14:paraId="5120752C" w14:textId="77777777" w:rsidR="00532700" w:rsidRPr="003C064D" w:rsidRDefault="00595EF9">
            <w:pPr>
              <w:spacing w:after="0" w:line="240" w:lineRule="auto"/>
              <w:jc w:val="center"/>
              <w:rPr>
                <w:rFonts w:ascii="Times New Roman" w:hAnsi="Times New Roman" w:cs="Times New Roman"/>
                <w:sz w:val="24"/>
                <w:szCs w:val="24"/>
              </w:rPr>
            </w:pPr>
            <w:r w:rsidRPr="003C064D">
              <w:rPr>
                <w:rFonts w:ascii="Times New Roman" w:hAnsi="Times New Roman" w:cs="Times New Roman"/>
                <w:sz w:val="24"/>
                <w:szCs w:val="24"/>
              </w:rPr>
              <w:t>№ п/п</w:t>
            </w:r>
          </w:p>
        </w:tc>
        <w:tc>
          <w:tcPr>
            <w:tcW w:w="3047" w:type="dxa"/>
            <w:vAlign w:val="center"/>
          </w:tcPr>
          <w:p w14:paraId="653C00C2" w14:textId="77777777" w:rsidR="00532700" w:rsidRPr="003C064D" w:rsidRDefault="00595EF9">
            <w:pPr>
              <w:spacing w:after="0" w:line="240" w:lineRule="auto"/>
              <w:jc w:val="center"/>
              <w:rPr>
                <w:rFonts w:ascii="Times New Roman" w:hAnsi="Times New Roman" w:cs="Times New Roman"/>
                <w:sz w:val="24"/>
                <w:szCs w:val="24"/>
              </w:rPr>
            </w:pPr>
            <w:r w:rsidRPr="003C064D">
              <w:rPr>
                <w:rFonts w:ascii="Times New Roman" w:hAnsi="Times New Roman" w:cs="Times New Roman"/>
                <w:sz w:val="24"/>
                <w:szCs w:val="24"/>
              </w:rPr>
              <w:t>Наименование пункта</w:t>
            </w:r>
          </w:p>
        </w:tc>
        <w:tc>
          <w:tcPr>
            <w:tcW w:w="5522" w:type="dxa"/>
            <w:vAlign w:val="center"/>
          </w:tcPr>
          <w:p w14:paraId="49F60245" w14:textId="77777777" w:rsidR="00532700" w:rsidRPr="003C064D" w:rsidRDefault="00595EF9">
            <w:pPr>
              <w:spacing w:after="0" w:line="240" w:lineRule="auto"/>
              <w:jc w:val="center"/>
              <w:rPr>
                <w:rFonts w:ascii="Times New Roman" w:hAnsi="Times New Roman" w:cs="Times New Roman"/>
                <w:sz w:val="24"/>
                <w:szCs w:val="24"/>
              </w:rPr>
            </w:pPr>
            <w:r w:rsidRPr="003C064D">
              <w:rPr>
                <w:rFonts w:ascii="Times New Roman" w:hAnsi="Times New Roman" w:cs="Times New Roman"/>
                <w:sz w:val="24"/>
                <w:szCs w:val="24"/>
              </w:rPr>
              <w:t>Содержание пункта</w:t>
            </w:r>
          </w:p>
        </w:tc>
      </w:tr>
      <w:tr w:rsidR="00532700" w:rsidRPr="003C064D" w14:paraId="59389F5C" w14:textId="77777777" w:rsidTr="00B648DC">
        <w:trPr>
          <w:jc w:val="center"/>
        </w:trPr>
        <w:tc>
          <w:tcPr>
            <w:tcW w:w="776" w:type="dxa"/>
          </w:tcPr>
          <w:p w14:paraId="13691770"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1.</w:t>
            </w:r>
          </w:p>
        </w:tc>
        <w:tc>
          <w:tcPr>
            <w:tcW w:w="3047" w:type="dxa"/>
          </w:tcPr>
          <w:p w14:paraId="41B4ECBE"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Орган, принявший решение об условиях приватизации имущества и реквизиты указанного решения</w:t>
            </w:r>
          </w:p>
        </w:tc>
        <w:tc>
          <w:tcPr>
            <w:tcW w:w="5522" w:type="dxa"/>
          </w:tcPr>
          <w:p w14:paraId="54EB12AF" w14:textId="443C289D"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 xml:space="preserve">постановление Администрации </w:t>
            </w:r>
            <w:r w:rsidR="005D68E9" w:rsidRPr="003C064D">
              <w:rPr>
                <w:rFonts w:ascii="Times New Roman" w:hAnsi="Times New Roman" w:cs="Times New Roman"/>
                <w:color w:val="000000" w:themeColor="text1"/>
                <w:sz w:val="24"/>
                <w:szCs w:val="24"/>
              </w:rPr>
              <w:t>городского поселения Данилов</w:t>
            </w:r>
            <w:r w:rsidRPr="003C064D">
              <w:rPr>
                <w:rFonts w:ascii="Times New Roman" w:hAnsi="Times New Roman" w:cs="Times New Roman"/>
                <w:color w:val="000000" w:themeColor="text1"/>
                <w:sz w:val="24"/>
                <w:szCs w:val="24"/>
              </w:rPr>
              <w:t xml:space="preserve"> от </w:t>
            </w:r>
            <w:r w:rsidR="00CE6A61" w:rsidRPr="003C064D">
              <w:rPr>
                <w:rFonts w:ascii="Times New Roman" w:hAnsi="Times New Roman" w:cs="Times New Roman"/>
                <w:color w:val="000000" w:themeColor="text1"/>
                <w:sz w:val="24"/>
                <w:szCs w:val="24"/>
              </w:rPr>
              <w:t>06</w:t>
            </w:r>
            <w:r w:rsidRPr="003C064D">
              <w:rPr>
                <w:rFonts w:ascii="Times New Roman" w:hAnsi="Times New Roman" w:cs="Times New Roman"/>
                <w:color w:val="000000" w:themeColor="text1"/>
                <w:sz w:val="24"/>
                <w:szCs w:val="24"/>
              </w:rPr>
              <w:t>.</w:t>
            </w:r>
            <w:r w:rsidR="00CE6A61" w:rsidRPr="003C064D">
              <w:rPr>
                <w:rFonts w:ascii="Times New Roman" w:hAnsi="Times New Roman" w:cs="Times New Roman"/>
                <w:color w:val="000000" w:themeColor="text1"/>
                <w:sz w:val="24"/>
                <w:szCs w:val="24"/>
              </w:rPr>
              <w:t>10</w:t>
            </w:r>
            <w:r w:rsidRPr="003C064D">
              <w:rPr>
                <w:rFonts w:ascii="Times New Roman" w:hAnsi="Times New Roman" w:cs="Times New Roman"/>
                <w:color w:val="000000" w:themeColor="text1"/>
                <w:sz w:val="24"/>
                <w:szCs w:val="24"/>
              </w:rPr>
              <w:t xml:space="preserve">.2025 № </w:t>
            </w:r>
            <w:r w:rsidR="00CE6A61" w:rsidRPr="003C064D">
              <w:rPr>
                <w:rFonts w:ascii="Times New Roman" w:hAnsi="Times New Roman" w:cs="Times New Roman"/>
                <w:color w:val="000000" w:themeColor="text1"/>
                <w:sz w:val="24"/>
                <w:szCs w:val="24"/>
              </w:rPr>
              <w:t>545</w:t>
            </w:r>
            <w:r w:rsidRPr="003C064D">
              <w:rPr>
                <w:rFonts w:ascii="Times New Roman" w:hAnsi="Times New Roman" w:cs="Times New Roman"/>
                <w:color w:val="000000" w:themeColor="text1"/>
                <w:sz w:val="24"/>
                <w:szCs w:val="24"/>
              </w:rPr>
              <w:t xml:space="preserve"> </w:t>
            </w:r>
            <w:r w:rsidRPr="003C064D">
              <w:rPr>
                <w:rFonts w:ascii="Times New Roman" w:hAnsi="Times New Roman" w:cs="Times New Roman"/>
                <w:sz w:val="24"/>
                <w:szCs w:val="24"/>
              </w:rPr>
              <w:t xml:space="preserve">«Об условиях приватизации </w:t>
            </w:r>
            <w:r w:rsidR="00CE6A61" w:rsidRPr="003C064D">
              <w:rPr>
                <w:rFonts w:ascii="Times New Roman" w:hAnsi="Times New Roman" w:cs="Times New Roman"/>
                <w:sz w:val="24"/>
                <w:szCs w:val="24"/>
              </w:rPr>
              <w:t>муниципального имущества городского поселения Данилов ярославской области</w:t>
            </w:r>
            <w:r w:rsidRPr="003C064D">
              <w:rPr>
                <w:rFonts w:ascii="Times New Roman" w:hAnsi="Times New Roman" w:cs="Times New Roman"/>
                <w:sz w:val="24"/>
                <w:szCs w:val="24"/>
              </w:rPr>
              <w:t>»</w:t>
            </w:r>
          </w:p>
        </w:tc>
      </w:tr>
      <w:tr w:rsidR="00532700" w:rsidRPr="003C064D" w14:paraId="5B614404" w14:textId="77777777">
        <w:trPr>
          <w:jc w:val="center"/>
        </w:trPr>
        <w:tc>
          <w:tcPr>
            <w:tcW w:w="776" w:type="dxa"/>
          </w:tcPr>
          <w:p w14:paraId="6C4679D1"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2.</w:t>
            </w:r>
          </w:p>
        </w:tc>
        <w:tc>
          <w:tcPr>
            <w:tcW w:w="8569" w:type="dxa"/>
            <w:gridSpan w:val="2"/>
          </w:tcPr>
          <w:p w14:paraId="66BC2841" w14:textId="77777777" w:rsidR="00532700" w:rsidRPr="003C064D" w:rsidRDefault="00595EF9">
            <w:pPr>
              <w:spacing w:after="0" w:line="240" w:lineRule="auto"/>
              <w:rPr>
                <w:rFonts w:ascii="Times New Roman" w:hAnsi="Times New Roman" w:cs="Times New Roman"/>
                <w:sz w:val="24"/>
                <w:szCs w:val="24"/>
              </w:rPr>
            </w:pPr>
            <w:r w:rsidRPr="003C064D">
              <w:rPr>
                <w:rFonts w:ascii="Times New Roman" w:hAnsi="Times New Roman" w:cs="Times New Roman"/>
                <w:sz w:val="24"/>
                <w:szCs w:val="24"/>
              </w:rPr>
              <w:t>Характеристики имущества</w:t>
            </w:r>
          </w:p>
        </w:tc>
      </w:tr>
      <w:tr w:rsidR="00532700" w:rsidRPr="003C064D" w14:paraId="79613478" w14:textId="77777777" w:rsidTr="00B648DC">
        <w:trPr>
          <w:jc w:val="center"/>
        </w:trPr>
        <w:tc>
          <w:tcPr>
            <w:tcW w:w="776" w:type="dxa"/>
          </w:tcPr>
          <w:p w14:paraId="3D7B37B4"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2.1.</w:t>
            </w:r>
          </w:p>
        </w:tc>
        <w:tc>
          <w:tcPr>
            <w:tcW w:w="3047" w:type="dxa"/>
          </w:tcPr>
          <w:p w14:paraId="3B14BD99"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Наименование лота</w:t>
            </w:r>
          </w:p>
        </w:tc>
        <w:tc>
          <w:tcPr>
            <w:tcW w:w="5522" w:type="dxa"/>
          </w:tcPr>
          <w:p w14:paraId="25BA5BD1" w14:textId="7891E498"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 xml:space="preserve">Нежилое здание, общей площадью </w:t>
            </w:r>
            <w:r w:rsidR="00CE6A61" w:rsidRPr="003C064D">
              <w:rPr>
                <w:rFonts w:ascii="Times New Roman" w:hAnsi="Times New Roman" w:cs="Times New Roman"/>
                <w:sz w:val="24"/>
                <w:szCs w:val="24"/>
              </w:rPr>
              <w:t>585,9</w:t>
            </w:r>
            <w:r w:rsidRPr="003C064D">
              <w:rPr>
                <w:rFonts w:ascii="Times New Roman" w:hAnsi="Times New Roman" w:cs="Times New Roman"/>
                <w:sz w:val="24"/>
                <w:szCs w:val="24"/>
              </w:rPr>
              <w:t xml:space="preserve"> </w:t>
            </w:r>
            <w:proofErr w:type="spellStart"/>
            <w:r w:rsidRPr="003C064D">
              <w:rPr>
                <w:rFonts w:ascii="Times New Roman" w:hAnsi="Times New Roman" w:cs="Times New Roman"/>
                <w:sz w:val="24"/>
                <w:szCs w:val="24"/>
              </w:rPr>
              <w:t>кв.м</w:t>
            </w:r>
            <w:proofErr w:type="spellEnd"/>
            <w:r w:rsidRPr="003C064D">
              <w:rPr>
                <w:rFonts w:ascii="Times New Roman" w:hAnsi="Times New Roman" w:cs="Times New Roman"/>
                <w:sz w:val="24"/>
                <w:szCs w:val="24"/>
              </w:rPr>
              <w:t>, кадастровый номер: 76:</w:t>
            </w:r>
            <w:r w:rsidR="00CE6A61" w:rsidRPr="003C064D">
              <w:rPr>
                <w:rFonts w:ascii="Times New Roman" w:hAnsi="Times New Roman" w:cs="Times New Roman"/>
                <w:sz w:val="24"/>
                <w:szCs w:val="24"/>
              </w:rPr>
              <w:t>05</w:t>
            </w:r>
            <w:r w:rsidRPr="003C064D">
              <w:rPr>
                <w:rFonts w:ascii="Times New Roman" w:hAnsi="Times New Roman" w:cs="Times New Roman"/>
                <w:sz w:val="24"/>
                <w:szCs w:val="24"/>
              </w:rPr>
              <w:t>:</w:t>
            </w:r>
            <w:r w:rsidR="00CE6A61" w:rsidRPr="003C064D">
              <w:rPr>
                <w:rFonts w:ascii="Times New Roman" w:hAnsi="Times New Roman" w:cs="Times New Roman"/>
                <w:sz w:val="24"/>
                <w:szCs w:val="24"/>
              </w:rPr>
              <w:t>010304</w:t>
            </w:r>
            <w:r w:rsidRPr="003C064D">
              <w:rPr>
                <w:rFonts w:ascii="Times New Roman" w:hAnsi="Times New Roman" w:cs="Times New Roman"/>
                <w:sz w:val="24"/>
                <w:szCs w:val="24"/>
              </w:rPr>
              <w:t>:</w:t>
            </w:r>
            <w:r w:rsidR="00CE6A61" w:rsidRPr="003C064D">
              <w:rPr>
                <w:rFonts w:ascii="Times New Roman" w:hAnsi="Times New Roman" w:cs="Times New Roman"/>
                <w:sz w:val="24"/>
                <w:szCs w:val="24"/>
              </w:rPr>
              <w:t>151</w:t>
            </w:r>
            <w:r w:rsidRPr="003C064D">
              <w:rPr>
                <w:rFonts w:ascii="Times New Roman" w:hAnsi="Times New Roman" w:cs="Times New Roman"/>
                <w:sz w:val="24"/>
                <w:szCs w:val="24"/>
              </w:rPr>
              <w:t xml:space="preserve">, с земельным участком, общей площадью </w:t>
            </w:r>
            <w:r w:rsidR="00CE6A61" w:rsidRPr="003C064D">
              <w:rPr>
                <w:rFonts w:ascii="Times New Roman" w:hAnsi="Times New Roman" w:cs="Times New Roman"/>
                <w:sz w:val="24"/>
                <w:szCs w:val="24"/>
              </w:rPr>
              <w:t>913</w:t>
            </w:r>
            <w:r w:rsidRPr="003C064D">
              <w:rPr>
                <w:rFonts w:ascii="Times New Roman" w:hAnsi="Times New Roman" w:cs="Times New Roman"/>
                <w:sz w:val="24"/>
                <w:szCs w:val="24"/>
              </w:rPr>
              <w:t xml:space="preserve"> </w:t>
            </w:r>
            <w:proofErr w:type="spellStart"/>
            <w:r w:rsidRPr="003C064D">
              <w:rPr>
                <w:rFonts w:ascii="Times New Roman" w:hAnsi="Times New Roman" w:cs="Times New Roman"/>
                <w:sz w:val="24"/>
                <w:szCs w:val="24"/>
              </w:rPr>
              <w:t>кв.м</w:t>
            </w:r>
            <w:proofErr w:type="spellEnd"/>
            <w:r w:rsidRPr="003C064D">
              <w:rPr>
                <w:rFonts w:ascii="Times New Roman" w:hAnsi="Times New Roman" w:cs="Times New Roman"/>
                <w:sz w:val="24"/>
                <w:szCs w:val="24"/>
              </w:rPr>
              <w:t>, кадастровый номер 76:</w:t>
            </w:r>
            <w:r w:rsidR="00CE6A61" w:rsidRPr="003C064D">
              <w:rPr>
                <w:rFonts w:ascii="Times New Roman" w:hAnsi="Times New Roman" w:cs="Times New Roman"/>
                <w:sz w:val="24"/>
                <w:szCs w:val="24"/>
              </w:rPr>
              <w:t>05</w:t>
            </w:r>
            <w:r w:rsidRPr="003C064D">
              <w:rPr>
                <w:rFonts w:ascii="Times New Roman" w:hAnsi="Times New Roman" w:cs="Times New Roman"/>
                <w:sz w:val="24"/>
                <w:szCs w:val="24"/>
              </w:rPr>
              <w:t>:</w:t>
            </w:r>
            <w:r w:rsidR="00CE6A61" w:rsidRPr="003C064D">
              <w:rPr>
                <w:rFonts w:ascii="Times New Roman" w:hAnsi="Times New Roman" w:cs="Times New Roman"/>
                <w:sz w:val="24"/>
                <w:szCs w:val="24"/>
              </w:rPr>
              <w:t>000000</w:t>
            </w:r>
            <w:r w:rsidRPr="003C064D">
              <w:rPr>
                <w:rFonts w:ascii="Times New Roman" w:hAnsi="Times New Roman" w:cs="Times New Roman"/>
                <w:sz w:val="24"/>
                <w:szCs w:val="24"/>
              </w:rPr>
              <w:t>:</w:t>
            </w:r>
            <w:r w:rsidR="00CE6A61" w:rsidRPr="003C064D">
              <w:rPr>
                <w:rFonts w:ascii="Times New Roman" w:hAnsi="Times New Roman" w:cs="Times New Roman"/>
                <w:sz w:val="24"/>
                <w:szCs w:val="24"/>
              </w:rPr>
              <w:t>296</w:t>
            </w:r>
            <w:r w:rsidRPr="003C064D">
              <w:rPr>
                <w:rFonts w:ascii="Times New Roman" w:hAnsi="Times New Roman" w:cs="Times New Roman"/>
                <w:sz w:val="24"/>
                <w:szCs w:val="24"/>
              </w:rPr>
              <w:t xml:space="preserve">, расположенных по адресу: Ярославская область, </w:t>
            </w:r>
            <w:r w:rsidR="00CE6A61" w:rsidRPr="003C064D">
              <w:rPr>
                <w:rFonts w:ascii="Times New Roman" w:hAnsi="Times New Roman" w:cs="Times New Roman"/>
                <w:sz w:val="24"/>
                <w:szCs w:val="24"/>
              </w:rPr>
              <w:t>Даниловский</w:t>
            </w:r>
            <w:r w:rsidRPr="003C064D">
              <w:rPr>
                <w:rFonts w:ascii="Times New Roman" w:hAnsi="Times New Roman" w:cs="Times New Roman"/>
                <w:sz w:val="24"/>
                <w:szCs w:val="24"/>
              </w:rPr>
              <w:t xml:space="preserve"> район, г. </w:t>
            </w:r>
            <w:r w:rsidR="00CE6A61" w:rsidRPr="003C064D">
              <w:rPr>
                <w:rFonts w:ascii="Times New Roman" w:hAnsi="Times New Roman" w:cs="Times New Roman"/>
                <w:sz w:val="24"/>
                <w:szCs w:val="24"/>
              </w:rPr>
              <w:t>Данилов</w:t>
            </w:r>
            <w:r w:rsidRPr="003C064D">
              <w:rPr>
                <w:rFonts w:ascii="Times New Roman" w:hAnsi="Times New Roman" w:cs="Times New Roman"/>
                <w:sz w:val="24"/>
                <w:szCs w:val="24"/>
              </w:rPr>
              <w:t xml:space="preserve">, ул. </w:t>
            </w:r>
            <w:r w:rsidR="00CE6A61" w:rsidRPr="003C064D">
              <w:rPr>
                <w:rFonts w:ascii="Times New Roman" w:hAnsi="Times New Roman" w:cs="Times New Roman"/>
                <w:sz w:val="24"/>
                <w:szCs w:val="24"/>
              </w:rPr>
              <w:t>Урицкого</w:t>
            </w:r>
            <w:r w:rsidRPr="003C064D">
              <w:rPr>
                <w:rFonts w:ascii="Times New Roman" w:hAnsi="Times New Roman" w:cs="Times New Roman"/>
                <w:sz w:val="24"/>
                <w:szCs w:val="24"/>
              </w:rPr>
              <w:t>, д.</w:t>
            </w:r>
            <w:r w:rsidR="00CE6A61" w:rsidRPr="003C064D">
              <w:rPr>
                <w:rFonts w:ascii="Times New Roman" w:hAnsi="Times New Roman" w:cs="Times New Roman"/>
                <w:sz w:val="24"/>
                <w:szCs w:val="24"/>
              </w:rPr>
              <w:t>28</w:t>
            </w:r>
            <w:r w:rsidRPr="003C064D">
              <w:rPr>
                <w:rFonts w:ascii="Times New Roman" w:hAnsi="Times New Roman" w:cs="Times New Roman"/>
                <w:sz w:val="24"/>
                <w:szCs w:val="24"/>
              </w:rPr>
              <w:t xml:space="preserve"> (далее – имущество)</w:t>
            </w:r>
          </w:p>
        </w:tc>
      </w:tr>
      <w:tr w:rsidR="00532700" w:rsidRPr="003C064D" w14:paraId="21A04D80" w14:textId="77777777" w:rsidTr="00B648DC">
        <w:trPr>
          <w:jc w:val="center"/>
        </w:trPr>
        <w:tc>
          <w:tcPr>
            <w:tcW w:w="776" w:type="dxa"/>
          </w:tcPr>
          <w:p w14:paraId="2126CDBE"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2.2.</w:t>
            </w:r>
          </w:p>
        </w:tc>
        <w:tc>
          <w:tcPr>
            <w:tcW w:w="3047" w:type="dxa"/>
          </w:tcPr>
          <w:p w14:paraId="68AFA619"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Форма собственности</w:t>
            </w:r>
          </w:p>
        </w:tc>
        <w:tc>
          <w:tcPr>
            <w:tcW w:w="5522" w:type="dxa"/>
          </w:tcPr>
          <w:p w14:paraId="3583F023"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Муниципальная собственность</w:t>
            </w:r>
          </w:p>
        </w:tc>
      </w:tr>
      <w:tr w:rsidR="00532700" w:rsidRPr="003C064D" w14:paraId="6F9832FB" w14:textId="77777777" w:rsidTr="00B648DC">
        <w:trPr>
          <w:jc w:val="center"/>
        </w:trPr>
        <w:tc>
          <w:tcPr>
            <w:tcW w:w="776" w:type="dxa"/>
          </w:tcPr>
          <w:p w14:paraId="1DC9F8BA"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2.3.</w:t>
            </w:r>
          </w:p>
        </w:tc>
        <w:tc>
          <w:tcPr>
            <w:tcW w:w="3047" w:type="dxa"/>
          </w:tcPr>
          <w:p w14:paraId="6857A726"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Кадастровый номер здания</w:t>
            </w:r>
          </w:p>
        </w:tc>
        <w:tc>
          <w:tcPr>
            <w:tcW w:w="5522" w:type="dxa"/>
          </w:tcPr>
          <w:p w14:paraId="05B443C3" w14:textId="737077B4"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76:</w:t>
            </w:r>
            <w:r w:rsidR="00CE6A61" w:rsidRPr="003C064D">
              <w:rPr>
                <w:rFonts w:ascii="Times New Roman" w:hAnsi="Times New Roman" w:cs="Times New Roman"/>
                <w:sz w:val="24"/>
                <w:szCs w:val="24"/>
              </w:rPr>
              <w:t>05</w:t>
            </w:r>
            <w:r w:rsidRPr="003C064D">
              <w:rPr>
                <w:rFonts w:ascii="Times New Roman" w:hAnsi="Times New Roman" w:cs="Times New Roman"/>
                <w:sz w:val="24"/>
                <w:szCs w:val="24"/>
              </w:rPr>
              <w:t>:</w:t>
            </w:r>
            <w:r w:rsidR="00CE6A61" w:rsidRPr="003C064D">
              <w:rPr>
                <w:rFonts w:ascii="Times New Roman" w:hAnsi="Times New Roman" w:cs="Times New Roman"/>
                <w:sz w:val="24"/>
                <w:szCs w:val="24"/>
              </w:rPr>
              <w:t>010304</w:t>
            </w:r>
            <w:r w:rsidRPr="003C064D">
              <w:rPr>
                <w:rFonts w:ascii="Times New Roman" w:hAnsi="Times New Roman" w:cs="Times New Roman"/>
                <w:sz w:val="24"/>
                <w:szCs w:val="24"/>
              </w:rPr>
              <w:t>:</w:t>
            </w:r>
            <w:r w:rsidR="00CE6A61" w:rsidRPr="003C064D">
              <w:rPr>
                <w:rFonts w:ascii="Times New Roman" w:hAnsi="Times New Roman" w:cs="Times New Roman"/>
                <w:sz w:val="24"/>
                <w:szCs w:val="24"/>
              </w:rPr>
              <w:t>151</w:t>
            </w:r>
          </w:p>
        </w:tc>
      </w:tr>
      <w:tr w:rsidR="00532700" w:rsidRPr="003C064D" w14:paraId="04617464" w14:textId="77777777" w:rsidTr="00B648DC">
        <w:trPr>
          <w:jc w:val="center"/>
        </w:trPr>
        <w:tc>
          <w:tcPr>
            <w:tcW w:w="776" w:type="dxa"/>
          </w:tcPr>
          <w:p w14:paraId="3CE8A84B"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2.4.</w:t>
            </w:r>
          </w:p>
        </w:tc>
        <w:tc>
          <w:tcPr>
            <w:tcW w:w="3047" w:type="dxa"/>
          </w:tcPr>
          <w:p w14:paraId="448D084F"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Кадастровый номер земельного участка</w:t>
            </w:r>
          </w:p>
        </w:tc>
        <w:tc>
          <w:tcPr>
            <w:tcW w:w="5522" w:type="dxa"/>
          </w:tcPr>
          <w:p w14:paraId="718487FA" w14:textId="778B6104" w:rsidR="00532700" w:rsidRPr="003C064D" w:rsidRDefault="00595EF9">
            <w:pPr>
              <w:spacing w:after="0" w:line="240" w:lineRule="auto"/>
              <w:jc w:val="both"/>
              <w:rPr>
                <w:rFonts w:ascii="Times New Roman" w:hAnsi="Times New Roman" w:cs="Times New Roman"/>
                <w:sz w:val="24"/>
                <w:szCs w:val="24"/>
                <w:highlight w:val="yellow"/>
              </w:rPr>
            </w:pPr>
            <w:r w:rsidRPr="003C064D">
              <w:rPr>
                <w:rFonts w:ascii="Times New Roman" w:hAnsi="Times New Roman" w:cs="Times New Roman"/>
                <w:sz w:val="24"/>
                <w:szCs w:val="24"/>
              </w:rPr>
              <w:t>76:</w:t>
            </w:r>
            <w:r w:rsidR="00CE6A61" w:rsidRPr="003C064D">
              <w:rPr>
                <w:rFonts w:ascii="Times New Roman" w:hAnsi="Times New Roman" w:cs="Times New Roman"/>
                <w:sz w:val="24"/>
                <w:szCs w:val="24"/>
              </w:rPr>
              <w:t>05</w:t>
            </w:r>
            <w:r w:rsidRPr="003C064D">
              <w:rPr>
                <w:rFonts w:ascii="Times New Roman" w:hAnsi="Times New Roman" w:cs="Times New Roman"/>
                <w:sz w:val="24"/>
                <w:szCs w:val="24"/>
              </w:rPr>
              <w:t>:</w:t>
            </w:r>
            <w:r w:rsidR="00CE6A61" w:rsidRPr="003C064D">
              <w:rPr>
                <w:rFonts w:ascii="Times New Roman" w:hAnsi="Times New Roman" w:cs="Times New Roman"/>
                <w:sz w:val="24"/>
                <w:szCs w:val="24"/>
              </w:rPr>
              <w:t>000000</w:t>
            </w:r>
            <w:r w:rsidRPr="003C064D">
              <w:rPr>
                <w:rFonts w:ascii="Times New Roman" w:hAnsi="Times New Roman" w:cs="Times New Roman"/>
                <w:sz w:val="24"/>
                <w:szCs w:val="24"/>
              </w:rPr>
              <w:t>:</w:t>
            </w:r>
            <w:r w:rsidR="00CE6A61" w:rsidRPr="003C064D">
              <w:rPr>
                <w:rFonts w:ascii="Times New Roman" w:hAnsi="Times New Roman" w:cs="Times New Roman"/>
                <w:sz w:val="24"/>
                <w:szCs w:val="24"/>
              </w:rPr>
              <w:t>296</w:t>
            </w:r>
          </w:p>
        </w:tc>
      </w:tr>
      <w:tr w:rsidR="00532700" w:rsidRPr="003C064D" w14:paraId="0FF312B8" w14:textId="77777777" w:rsidTr="00B648DC">
        <w:trPr>
          <w:jc w:val="center"/>
        </w:trPr>
        <w:tc>
          <w:tcPr>
            <w:tcW w:w="776" w:type="dxa"/>
          </w:tcPr>
          <w:p w14:paraId="29BAC977"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2.5.</w:t>
            </w:r>
          </w:p>
        </w:tc>
        <w:tc>
          <w:tcPr>
            <w:tcW w:w="3047" w:type="dxa"/>
          </w:tcPr>
          <w:p w14:paraId="7DCFA95A"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Общая площадь здания</w:t>
            </w:r>
          </w:p>
        </w:tc>
        <w:tc>
          <w:tcPr>
            <w:tcW w:w="5522" w:type="dxa"/>
          </w:tcPr>
          <w:p w14:paraId="22A0DAB5" w14:textId="226B5A6B" w:rsidR="00532700" w:rsidRPr="003C064D" w:rsidRDefault="00CE6A61">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585,9</w:t>
            </w:r>
            <w:r w:rsidR="00595EF9" w:rsidRPr="003C064D">
              <w:rPr>
                <w:rFonts w:ascii="Times New Roman" w:hAnsi="Times New Roman" w:cs="Times New Roman"/>
                <w:sz w:val="24"/>
                <w:szCs w:val="24"/>
              </w:rPr>
              <w:t xml:space="preserve"> </w:t>
            </w:r>
            <w:proofErr w:type="spellStart"/>
            <w:r w:rsidR="00595EF9" w:rsidRPr="003C064D">
              <w:rPr>
                <w:rFonts w:ascii="Times New Roman" w:hAnsi="Times New Roman" w:cs="Times New Roman"/>
                <w:sz w:val="24"/>
                <w:szCs w:val="24"/>
              </w:rPr>
              <w:t>кв.м</w:t>
            </w:r>
            <w:proofErr w:type="spellEnd"/>
            <w:r w:rsidR="00595EF9" w:rsidRPr="003C064D">
              <w:rPr>
                <w:rFonts w:ascii="Times New Roman" w:hAnsi="Times New Roman" w:cs="Times New Roman"/>
                <w:sz w:val="24"/>
                <w:szCs w:val="24"/>
              </w:rPr>
              <w:t>.</w:t>
            </w:r>
          </w:p>
        </w:tc>
      </w:tr>
      <w:tr w:rsidR="00532700" w:rsidRPr="003C064D" w14:paraId="62D09F27" w14:textId="77777777" w:rsidTr="00B648DC">
        <w:trPr>
          <w:jc w:val="center"/>
        </w:trPr>
        <w:tc>
          <w:tcPr>
            <w:tcW w:w="776" w:type="dxa"/>
          </w:tcPr>
          <w:p w14:paraId="7B21E2D3"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2.6.</w:t>
            </w:r>
          </w:p>
        </w:tc>
        <w:tc>
          <w:tcPr>
            <w:tcW w:w="3047" w:type="dxa"/>
          </w:tcPr>
          <w:p w14:paraId="5E07AB84"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Общая площадь земельного участка</w:t>
            </w:r>
          </w:p>
        </w:tc>
        <w:tc>
          <w:tcPr>
            <w:tcW w:w="5522" w:type="dxa"/>
          </w:tcPr>
          <w:p w14:paraId="674BD253" w14:textId="2D71AAE6" w:rsidR="00532700" w:rsidRPr="003C064D" w:rsidRDefault="00CE6A61">
            <w:pPr>
              <w:spacing w:after="0" w:line="240" w:lineRule="auto"/>
              <w:jc w:val="both"/>
              <w:rPr>
                <w:rFonts w:ascii="Times New Roman" w:hAnsi="Times New Roman" w:cs="Times New Roman"/>
                <w:sz w:val="24"/>
                <w:szCs w:val="24"/>
              </w:rPr>
            </w:pPr>
            <w:r w:rsidRPr="003C064D">
              <w:rPr>
                <w:rFonts w:ascii="Times New Roman" w:eastAsia="Calibri" w:hAnsi="Times New Roman" w:cs="Times New Roman"/>
                <w:color w:val="000000"/>
                <w:sz w:val="24"/>
                <w:szCs w:val="24"/>
                <w:shd w:val="clear" w:color="auto" w:fill="FFFFFF"/>
              </w:rPr>
              <w:t xml:space="preserve">913 </w:t>
            </w:r>
            <w:r w:rsidR="00595EF9" w:rsidRPr="003C064D">
              <w:rPr>
                <w:rFonts w:ascii="Times New Roman" w:eastAsia="Calibri" w:hAnsi="Times New Roman" w:cs="Times New Roman"/>
                <w:color w:val="000000"/>
                <w:sz w:val="24"/>
                <w:szCs w:val="24"/>
                <w:shd w:val="clear" w:color="auto" w:fill="FFFFFF"/>
              </w:rPr>
              <w:t>кв. м</w:t>
            </w:r>
          </w:p>
        </w:tc>
      </w:tr>
      <w:tr w:rsidR="00532700" w:rsidRPr="003C064D" w14:paraId="628B6CDC" w14:textId="77777777" w:rsidTr="00B648DC">
        <w:trPr>
          <w:jc w:val="center"/>
        </w:trPr>
        <w:tc>
          <w:tcPr>
            <w:tcW w:w="776" w:type="dxa"/>
          </w:tcPr>
          <w:p w14:paraId="787695AC"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2.7.</w:t>
            </w:r>
          </w:p>
        </w:tc>
        <w:tc>
          <w:tcPr>
            <w:tcW w:w="3047" w:type="dxa"/>
          </w:tcPr>
          <w:p w14:paraId="7858E702"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Количество этажей</w:t>
            </w:r>
          </w:p>
        </w:tc>
        <w:tc>
          <w:tcPr>
            <w:tcW w:w="5522" w:type="dxa"/>
          </w:tcPr>
          <w:p w14:paraId="05A33DED" w14:textId="018FB84F"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 xml:space="preserve">2, </w:t>
            </w:r>
            <w:r w:rsidR="00417F13" w:rsidRPr="003C064D">
              <w:rPr>
                <w:rFonts w:ascii="Times New Roman" w:hAnsi="Times New Roman" w:cs="Times New Roman"/>
                <w:sz w:val="24"/>
                <w:szCs w:val="24"/>
              </w:rPr>
              <w:t>в</w:t>
            </w:r>
            <w:r w:rsidRPr="003C064D">
              <w:rPr>
                <w:rFonts w:ascii="Times New Roman" w:hAnsi="Times New Roman" w:cs="Times New Roman"/>
                <w:sz w:val="24"/>
                <w:szCs w:val="24"/>
              </w:rPr>
              <w:t xml:space="preserve"> том числе подземных 0</w:t>
            </w:r>
          </w:p>
        </w:tc>
      </w:tr>
      <w:tr w:rsidR="00532700" w:rsidRPr="003C064D" w14:paraId="104B9EC7" w14:textId="77777777" w:rsidTr="00B648DC">
        <w:trPr>
          <w:jc w:val="center"/>
        </w:trPr>
        <w:tc>
          <w:tcPr>
            <w:tcW w:w="776" w:type="dxa"/>
          </w:tcPr>
          <w:p w14:paraId="19DC23DE"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2.8.</w:t>
            </w:r>
          </w:p>
        </w:tc>
        <w:tc>
          <w:tcPr>
            <w:tcW w:w="3047" w:type="dxa"/>
          </w:tcPr>
          <w:p w14:paraId="2D58BD5D"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Обременения (ограничения)</w:t>
            </w:r>
          </w:p>
        </w:tc>
        <w:tc>
          <w:tcPr>
            <w:tcW w:w="5522" w:type="dxa"/>
          </w:tcPr>
          <w:p w14:paraId="4E22AF2C" w14:textId="150BD726" w:rsidR="00D7795B" w:rsidRPr="003C064D" w:rsidRDefault="00595EF9" w:rsidP="00D7795B">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Здание является выявленным объектом культурного наследия, представляющего собой историко-культурную ценность, Памятник и "</w:t>
            </w:r>
            <w:r w:rsidR="00CE6A61" w:rsidRPr="003C064D">
              <w:rPr>
                <w:rFonts w:ascii="Times New Roman" w:hAnsi="Times New Roman" w:cs="Times New Roman"/>
                <w:sz w:val="24"/>
                <w:szCs w:val="24"/>
              </w:rPr>
              <w:t>Дом купца Тихменева</w:t>
            </w:r>
            <w:r w:rsidRPr="003C064D">
              <w:rPr>
                <w:rFonts w:ascii="Times New Roman" w:hAnsi="Times New Roman" w:cs="Times New Roman"/>
                <w:sz w:val="24"/>
                <w:szCs w:val="24"/>
              </w:rPr>
              <w:t>",</w:t>
            </w:r>
            <w:r w:rsidR="00417F13" w:rsidRPr="003C064D">
              <w:rPr>
                <w:rFonts w:ascii="Times New Roman" w:hAnsi="Times New Roman" w:cs="Times New Roman"/>
                <w:sz w:val="24"/>
                <w:szCs w:val="24"/>
              </w:rPr>
              <w:t xml:space="preserve"> </w:t>
            </w:r>
            <w:r w:rsidR="00B648DC" w:rsidRPr="003C064D">
              <w:rPr>
                <w:rFonts w:ascii="Times New Roman" w:hAnsi="Times New Roman" w:cs="Times New Roman"/>
                <w:sz w:val="24"/>
                <w:szCs w:val="24"/>
              </w:rPr>
              <w:t>Объект включен в перечень выявленных объектов культурного наследия</w:t>
            </w:r>
            <w:r w:rsidR="00CE6A61" w:rsidRPr="003C064D">
              <w:rPr>
                <w:rFonts w:ascii="Times New Roman" w:hAnsi="Times New Roman" w:cs="Times New Roman"/>
                <w:sz w:val="24"/>
                <w:szCs w:val="24"/>
              </w:rPr>
              <w:t>, 1993-11-22, 329</w:t>
            </w:r>
            <w:r w:rsidR="00B648DC" w:rsidRPr="003C064D">
              <w:rPr>
                <w:rFonts w:ascii="Times New Roman" w:hAnsi="Times New Roman" w:cs="Times New Roman"/>
                <w:sz w:val="24"/>
                <w:szCs w:val="24"/>
              </w:rPr>
              <w:t xml:space="preserve"> </w:t>
            </w:r>
            <w:r w:rsidRPr="003C064D">
              <w:rPr>
                <w:rFonts w:ascii="Times New Roman" w:hAnsi="Times New Roman" w:cs="Times New Roman"/>
                <w:sz w:val="24"/>
                <w:szCs w:val="24"/>
              </w:rPr>
              <w:t xml:space="preserve">решения органов охраны объектов </w:t>
            </w:r>
            <w:r w:rsidRPr="003C064D">
              <w:rPr>
                <w:rFonts w:ascii="Times New Roman" w:hAnsi="Times New Roman" w:cs="Times New Roman"/>
                <w:sz w:val="24"/>
                <w:szCs w:val="24"/>
              </w:rPr>
              <w:lastRenderedPageBreak/>
              <w:t>культурного наследия - в отношении объекта недвижимости, являющегося выявленным объектом культурного</w:t>
            </w:r>
            <w:r w:rsidR="00CE6A61" w:rsidRPr="003C064D">
              <w:rPr>
                <w:rFonts w:ascii="Times New Roman" w:hAnsi="Times New Roman" w:cs="Times New Roman"/>
                <w:sz w:val="24"/>
                <w:szCs w:val="24"/>
              </w:rPr>
              <w:t xml:space="preserve"> </w:t>
            </w:r>
            <w:r w:rsidRPr="003C064D">
              <w:rPr>
                <w:rFonts w:ascii="Times New Roman" w:hAnsi="Times New Roman" w:cs="Times New Roman"/>
                <w:sz w:val="24"/>
                <w:szCs w:val="24"/>
              </w:rPr>
              <w:t>наследия.</w:t>
            </w:r>
            <w:r w:rsidR="00D7795B" w:rsidRPr="003C064D">
              <w:rPr>
                <w:rFonts w:ascii="Times New Roman" w:hAnsi="Times New Roman" w:cs="Times New Roman"/>
                <w:sz w:val="24"/>
                <w:szCs w:val="24"/>
              </w:rPr>
              <w:t xml:space="preserve"> Границы территории объекта в настоящее время не утверждены.</w:t>
            </w:r>
          </w:p>
          <w:p w14:paraId="23A70B1F" w14:textId="77777777" w:rsidR="00D7795B" w:rsidRPr="003C064D" w:rsidRDefault="00D7795B" w:rsidP="00D7795B">
            <w:pPr>
              <w:jc w:val="both"/>
              <w:rPr>
                <w:rFonts w:ascii="Times New Roman" w:hAnsi="Times New Roman" w:cs="Times New Roman"/>
                <w:sz w:val="24"/>
                <w:szCs w:val="24"/>
              </w:rPr>
            </w:pPr>
            <w:r w:rsidRPr="003C064D">
              <w:rPr>
                <w:rFonts w:ascii="Times New Roman" w:hAnsi="Times New Roman" w:cs="Times New Roman"/>
                <w:sz w:val="24"/>
                <w:szCs w:val="24"/>
              </w:rPr>
              <w:t xml:space="preserve">Требования к сохранению, содержанию и использованию выявленного объекта культурного наследия установлены статьями 47.2, 47.3 Федерального закона № 73-ФЗ. </w:t>
            </w:r>
          </w:p>
          <w:p w14:paraId="5A625976" w14:textId="77777777" w:rsidR="00D7795B" w:rsidRPr="003C064D" w:rsidRDefault="00D7795B" w:rsidP="00D7795B">
            <w:pPr>
              <w:jc w:val="both"/>
              <w:rPr>
                <w:rFonts w:ascii="Times New Roman" w:hAnsi="Times New Roman" w:cs="Times New Roman"/>
                <w:sz w:val="24"/>
                <w:szCs w:val="24"/>
              </w:rPr>
            </w:pPr>
            <w:r w:rsidRPr="003C064D">
              <w:rPr>
                <w:rFonts w:ascii="Times New Roman" w:hAnsi="Times New Roman" w:cs="Times New Roman"/>
                <w:sz w:val="24"/>
                <w:szCs w:val="24"/>
              </w:rPr>
              <w:t>Порядок проведения работ по сохранению объекта культурного наследия осуществляется в соответствии со статьей 45 Федерального закона № 73-ФЗ.</w:t>
            </w:r>
          </w:p>
          <w:p w14:paraId="38AE42F6" w14:textId="0A0EDC5C" w:rsidR="00532700" w:rsidRPr="003C064D" w:rsidRDefault="00D7795B" w:rsidP="00D7795B">
            <w:pPr>
              <w:jc w:val="both"/>
              <w:rPr>
                <w:rFonts w:ascii="Times New Roman" w:eastAsia="69423c" w:hAnsi="Times New Roman" w:cs="Times New Roman"/>
                <w:color w:val="000000"/>
                <w:sz w:val="24"/>
                <w:szCs w:val="24"/>
                <w:lang w:eastAsia="zh-CN" w:bidi="ar"/>
              </w:rPr>
            </w:pPr>
            <w:r w:rsidRPr="003C064D">
              <w:rPr>
                <w:rFonts w:ascii="Times New Roman" w:hAnsi="Times New Roman" w:cs="Times New Roman"/>
                <w:sz w:val="24"/>
                <w:szCs w:val="24"/>
              </w:rPr>
              <w:t>В соответствии с пунктом 1 статьи 50.1 Федерального закона № 73-ФЗ заключение договоров, предусматривающих передачу права собственности или иных вещных прав на выявленный объект культурного</w:t>
            </w:r>
          </w:p>
        </w:tc>
      </w:tr>
      <w:tr w:rsidR="00532700" w:rsidRPr="003C064D" w14:paraId="49CAC06D" w14:textId="77777777" w:rsidTr="00B648DC">
        <w:trPr>
          <w:jc w:val="center"/>
        </w:trPr>
        <w:tc>
          <w:tcPr>
            <w:tcW w:w="776" w:type="dxa"/>
          </w:tcPr>
          <w:p w14:paraId="4016EFBD" w14:textId="77777777" w:rsidR="00532700" w:rsidRPr="003C064D" w:rsidRDefault="00532700">
            <w:pPr>
              <w:spacing w:after="0" w:line="240" w:lineRule="auto"/>
              <w:jc w:val="both"/>
              <w:rPr>
                <w:rFonts w:ascii="Times New Roman" w:hAnsi="Times New Roman" w:cs="Times New Roman"/>
                <w:sz w:val="24"/>
                <w:szCs w:val="24"/>
              </w:rPr>
            </w:pPr>
          </w:p>
        </w:tc>
        <w:tc>
          <w:tcPr>
            <w:tcW w:w="3047" w:type="dxa"/>
            <w:shd w:val="clear" w:color="auto" w:fill="auto"/>
          </w:tcPr>
          <w:p w14:paraId="4AF80F62" w14:textId="77777777" w:rsidR="00532700" w:rsidRPr="003C064D" w:rsidRDefault="00595EF9">
            <w:pPr>
              <w:spacing w:after="0" w:line="240" w:lineRule="auto"/>
              <w:jc w:val="both"/>
              <w:rPr>
                <w:rFonts w:ascii="Times New Roman" w:hAnsi="Times New Roman" w:cs="Times New Roman"/>
                <w:sz w:val="24"/>
                <w:szCs w:val="24"/>
              </w:rPr>
            </w:pPr>
            <w:proofErr w:type="spellStart"/>
            <w:r w:rsidRPr="003C064D">
              <w:rPr>
                <w:rFonts w:ascii="Times New Roman" w:eastAsia="7b857f" w:hAnsi="Times New Roman" w:cs="Times New Roman"/>
                <w:color w:val="000000"/>
                <w:sz w:val="24"/>
                <w:szCs w:val="24"/>
                <w:lang w:val="en-US" w:eastAsia="zh-CN" w:bidi="ar"/>
              </w:rPr>
              <w:t>вид</w:t>
            </w:r>
            <w:proofErr w:type="spellEnd"/>
            <w:r w:rsidRPr="003C064D">
              <w:rPr>
                <w:rFonts w:ascii="Times New Roman" w:eastAsia="7b857f" w:hAnsi="Times New Roman" w:cs="Times New Roman"/>
                <w:color w:val="000000"/>
                <w:sz w:val="24"/>
                <w:szCs w:val="24"/>
                <w:lang w:val="en-US" w:eastAsia="zh-CN" w:bidi="ar"/>
              </w:rPr>
              <w:t xml:space="preserve"> </w:t>
            </w:r>
            <w:proofErr w:type="spellStart"/>
            <w:r w:rsidRPr="003C064D">
              <w:rPr>
                <w:rFonts w:ascii="Times New Roman" w:eastAsia="7b857f" w:hAnsi="Times New Roman" w:cs="Times New Roman"/>
                <w:color w:val="000000"/>
                <w:sz w:val="24"/>
                <w:szCs w:val="24"/>
                <w:lang w:val="en-US" w:eastAsia="zh-CN" w:bidi="ar"/>
              </w:rPr>
              <w:t>ограничения</w:t>
            </w:r>
            <w:proofErr w:type="spellEnd"/>
            <w:r w:rsidRPr="003C064D">
              <w:rPr>
                <w:rFonts w:ascii="Times New Roman" w:eastAsia="7b857f" w:hAnsi="Times New Roman" w:cs="Times New Roman"/>
                <w:color w:val="000000"/>
                <w:sz w:val="24"/>
                <w:szCs w:val="24"/>
                <w:lang w:val="en-US" w:eastAsia="zh-CN" w:bidi="ar"/>
              </w:rPr>
              <w:t xml:space="preserve"> </w:t>
            </w:r>
            <w:r w:rsidRPr="003C064D">
              <w:rPr>
                <w:rFonts w:ascii="Times New Roman" w:eastAsia="046aef" w:hAnsi="Times New Roman" w:cs="Times New Roman"/>
                <w:color w:val="000000"/>
                <w:sz w:val="24"/>
                <w:szCs w:val="24"/>
                <w:lang w:val="en-US" w:eastAsia="zh-CN" w:bidi="ar"/>
              </w:rPr>
              <w:t>(</w:t>
            </w:r>
            <w:proofErr w:type="spellStart"/>
            <w:r w:rsidRPr="003C064D">
              <w:rPr>
                <w:rFonts w:ascii="Times New Roman" w:eastAsia="7b857f" w:hAnsi="Times New Roman" w:cs="Times New Roman"/>
                <w:color w:val="000000"/>
                <w:sz w:val="24"/>
                <w:szCs w:val="24"/>
                <w:lang w:val="en-US" w:eastAsia="zh-CN" w:bidi="ar"/>
              </w:rPr>
              <w:t>обременения</w:t>
            </w:r>
            <w:proofErr w:type="spellEnd"/>
            <w:r w:rsidRPr="003C064D">
              <w:rPr>
                <w:rFonts w:ascii="Times New Roman" w:eastAsia="046aef" w:hAnsi="Times New Roman" w:cs="Times New Roman"/>
                <w:color w:val="000000"/>
                <w:sz w:val="24"/>
                <w:szCs w:val="24"/>
                <w:lang w:val="en-US" w:eastAsia="zh-CN" w:bidi="ar"/>
              </w:rPr>
              <w:t>):</w:t>
            </w:r>
          </w:p>
        </w:tc>
        <w:tc>
          <w:tcPr>
            <w:tcW w:w="5522" w:type="dxa"/>
          </w:tcPr>
          <w:p w14:paraId="5E53A416" w14:textId="65077E38" w:rsidR="00532700" w:rsidRPr="003C064D" w:rsidRDefault="00D7795B">
            <w:pPr>
              <w:jc w:val="both"/>
              <w:rPr>
                <w:rFonts w:ascii="Times New Roman" w:hAnsi="Times New Roman" w:cs="Times New Roman"/>
                <w:sz w:val="24"/>
                <w:szCs w:val="24"/>
              </w:rPr>
            </w:pPr>
            <w:r w:rsidRPr="003C064D">
              <w:rPr>
                <w:rFonts w:ascii="Times New Roman" w:hAnsi="Times New Roman" w:cs="Times New Roman"/>
                <w:sz w:val="24"/>
                <w:szCs w:val="24"/>
              </w:rPr>
              <w:t xml:space="preserve">Земельный участок полностью расположен в границах зоны с реестровым номером 76:05-6.1623 от 22.09.2021, ограничение использования земельного участка в пределах зоны: Согласно абзацу 2 пункта 2 статьи 34 Федерального закона от 25.06.2002 № 73-ФЗ «Об объектах культурного наследия (памятниках истории и культуры) народов Российской Федерации» 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 В соответствии с пунктом 10 положения о зонах охраны объектов культурного наследия (памятников истории и культуры) народов Российской Федерации, утвержденного Постановлением Правительства Российской Федерации от 12.09.2015 № 972 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 а) ограничение строительства, необходимое для обеспечения сохранности объекта культурного наследия в его </w:t>
            </w:r>
            <w:r w:rsidRPr="003C064D">
              <w:rPr>
                <w:rFonts w:ascii="Times New Roman" w:hAnsi="Times New Roman" w:cs="Times New Roman"/>
                <w:sz w:val="24"/>
                <w:szCs w:val="24"/>
              </w:rPr>
              <w:lastRenderedPageBreak/>
              <w:t xml:space="preserve">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 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в) обеспечение визуального восприятия объекта культурного наследия в его историко-градостроительной и природной среде; 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 д) сохранение качества окружающей среды, необходимого для обеспечения сохранности объекта культурного наследия в его </w:t>
            </w:r>
            <w:proofErr w:type="spellStart"/>
            <w:r w:rsidRPr="003C064D">
              <w:rPr>
                <w:rFonts w:ascii="Times New Roman" w:hAnsi="Times New Roman" w:cs="Times New Roman"/>
                <w:sz w:val="24"/>
                <w:szCs w:val="24"/>
              </w:rPr>
              <w:t>историкоградостроительной</w:t>
            </w:r>
            <w:proofErr w:type="spellEnd"/>
            <w:r w:rsidRPr="003C064D">
              <w:rPr>
                <w:rFonts w:ascii="Times New Roman" w:hAnsi="Times New Roman" w:cs="Times New Roman"/>
                <w:sz w:val="24"/>
                <w:szCs w:val="24"/>
              </w:rPr>
              <w:t xml:space="preserve"> и природной среде; 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 ж) иные требования, необходимые для обеспечения сохранности объекта культурного наследия в его историко-градостроительной и природной среде. Согласно решения исполнительного комитета Ярославского областного Совета народных депутатов от 23.11.1990 № 371 режим использования заключается в следующем: 1. Сохранение модуля кварталов, как устойчивого элемента планировочной структуры. 2. Замена обветшалой застройки новой, высотой до 10 метров. 3. Восполнение утрат путем переноса памятников или ценных зданий на место утраты. 4. Объемно-пространственное решение новой застройки должна подчиняться сложившимся фрагментам исторической городской среды, в которой памятники-доминанты (</w:t>
            </w:r>
            <w:proofErr w:type="spellStart"/>
            <w:r w:rsidRPr="003C064D">
              <w:rPr>
                <w:rFonts w:ascii="Times New Roman" w:hAnsi="Times New Roman" w:cs="Times New Roman"/>
                <w:sz w:val="24"/>
                <w:szCs w:val="24"/>
              </w:rPr>
              <w:t>силуэтообразующие</w:t>
            </w:r>
            <w:proofErr w:type="spellEnd"/>
            <w:r w:rsidRPr="003C064D">
              <w:rPr>
                <w:rFonts w:ascii="Times New Roman" w:hAnsi="Times New Roman" w:cs="Times New Roman"/>
                <w:sz w:val="24"/>
                <w:szCs w:val="24"/>
              </w:rPr>
              <w:t xml:space="preserve"> элементы застройки) будут по-прежнему играть главенствующую роль. Использование традиционных архитектурных деталей. , вид/наименование: Зона регулирования застройки с сохранением исторически ценного планировочного </w:t>
            </w:r>
            <w:r w:rsidRPr="003C064D">
              <w:rPr>
                <w:rFonts w:ascii="Times New Roman" w:hAnsi="Times New Roman" w:cs="Times New Roman"/>
                <w:sz w:val="24"/>
                <w:szCs w:val="24"/>
              </w:rPr>
              <w:lastRenderedPageBreak/>
              <w:t>модуля кварталов, зданий XIX начала XX вв., с ограничением высоты рядовой застройки до 10 метров, тип: Зона охраны объекта культурного наследия, дата решения: 23.11.1990, номер решения: 371, наименование ОГВ/ОМСУ: Ярославский областной совет народных депутатов исполнительный комитет</w:t>
            </w:r>
          </w:p>
        </w:tc>
      </w:tr>
      <w:tr w:rsidR="00532700" w:rsidRPr="003C064D" w14:paraId="5404D811" w14:textId="77777777" w:rsidTr="00B648DC">
        <w:trPr>
          <w:jc w:val="center"/>
        </w:trPr>
        <w:tc>
          <w:tcPr>
            <w:tcW w:w="776" w:type="dxa"/>
          </w:tcPr>
          <w:p w14:paraId="0244E6AD"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lastRenderedPageBreak/>
              <w:t>2.9.</w:t>
            </w:r>
          </w:p>
        </w:tc>
        <w:tc>
          <w:tcPr>
            <w:tcW w:w="3047" w:type="dxa"/>
          </w:tcPr>
          <w:p w14:paraId="28521C7E"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Год ввода в эксплуатацию</w:t>
            </w:r>
          </w:p>
        </w:tc>
        <w:tc>
          <w:tcPr>
            <w:tcW w:w="5522" w:type="dxa"/>
          </w:tcPr>
          <w:p w14:paraId="711BD69A" w14:textId="799E8E35" w:rsidR="00532700" w:rsidRPr="003C064D" w:rsidRDefault="001F6CAA">
            <w:pPr>
              <w:spacing w:after="0" w:line="240" w:lineRule="auto"/>
              <w:jc w:val="both"/>
              <w:rPr>
                <w:rFonts w:ascii="Times New Roman" w:hAnsi="Times New Roman" w:cs="Times New Roman"/>
                <w:color w:val="0000FF"/>
                <w:sz w:val="24"/>
                <w:szCs w:val="24"/>
              </w:rPr>
            </w:pPr>
            <w:r>
              <w:rPr>
                <w:rFonts w:ascii="Times New Roman" w:hAnsi="Times New Roman" w:cs="Times New Roman"/>
                <w:color w:val="000000" w:themeColor="text1"/>
                <w:sz w:val="24"/>
                <w:szCs w:val="24"/>
              </w:rPr>
              <w:t>1917</w:t>
            </w:r>
          </w:p>
        </w:tc>
      </w:tr>
      <w:tr w:rsidR="00532700" w:rsidRPr="003C064D" w14:paraId="22CC405B" w14:textId="77777777" w:rsidTr="00B648DC">
        <w:trPr>
          <w:jc w:val="center"/>
        </w:trPr>
        <w:tc>
          <w:tcPr>
            <w:tcW w:w="776" w:type="dxa"/>
          </w:tcPr>
          <w:p w14:paraId="58E1E369"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2.10.</w:t>
            </w:r>
          </w:p>
        </w:tc>
        <w:tc>
          <w:tcPr>
            <w:tcW w:w="3047" w:type="dxa"/>
          </w:tcPr>
          <w:p w14:paraId="6CDE07D0"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Материалы наружных стен здания</w:t>
            </w:r>
          </w:p>
        </w:tc>
        <w:tc>
          <w:tcPr>
            <w:tcW w:w="5522" w:type="dxa"/>
          </w:tcPr>
          <w:p w14:paraId="1CDE9A25"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eastAsia="sans-serif" w:hAnsi="Times New Roman" w:cs="Times New Roman"/>
                <w:color w:val="000000"/>
                <w:sz w:val="24"/>
                <w:szCs w:val="24"/>
                <w:shd w:val="clear" w:color="auto" w:fill="FFFFFF"/>
              </w:rPr>
              <w:t>Рубленые</w:t>
            </w:r>
          </w:p>
        </w:tc>
      </w:tr>
      <w:tr w:rsidR="00532700" w:rsidRPr="003C064D" w14:paraId="21041992" w14:textId="77777777" w:rsidTr="00B648DC">
        <w:trPr>
          <w:jc w:val="center"/>
        </w:trPr>
        <w:tc>
          <w:tcPr>
            <w:tcW w:w="776" w:type="dxa"/>
          </w:tcPr>
          <w:p w14:paraId="10CD9E68"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2.11.</w:t>
            </w:r>
          </w:p>
        </w:tc>
        <w:tc>
          <w:tcPr>
            <w:tcW w:w="3047" w:type="dxa"/>
          </w:tcPr>
          <w:p w14:paraId="3B42A9DD"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Подключенные инженерные коммуникации</w:t>
            </w:r>
          </w:p>
        </w:tc>
        <w:tc>
          <w:tcPr>
            <w:tcW w:w="5522" w:type="dxa"/>
          </w:tcPr>
          <w:p w14:paraId="0F38F508" w14:textId="6C59F1F1"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Система электроснабжения: объект подключен к электрическим сетям. Водо</w:t>
            </w:r>
            <w:r w:rsidR="00EC3F4F" w:rsidRPr="003C064D">
              <w:rPr>
                <w:rFonts w:ascii="Times New Roman" w:hAnsi="Times New Roman" w:cs="Times New Roman"/>
                <w:sz w:val="24"/>
                <w:szCs w:val="24"/>
              </w:rPr>
              <w:t>снабжение</w:t>
            </w:r>
            <w:r w:rsidRPr="003C064D">
              <w:rPr>
                <w:rFonts w:ascii="Times New Roman" w:hAnsi="Times New Roman" w:cs="Times New Roman"/>
                <w:sz w:val="24"/>
                <w:szCs w:val="24"/>
              </w:rPr>
              <w:t>: объект подключен к централизованному водопроводу.</w:t>
            </w:r>
          </w:p>
          <w:p w14:paraId="00EDD4FC" w14:textId="51A38AFC" w:rsidR="00EC3F4F" w:rsidRPr="003C064D" w:rsidRDefault="00EC3F4F">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Водоотведение: объект подключен к центральной системе водоотведения.</w:t>
            </w:r>
          </w:p>
          <w:p w14:paraId="0A17B6B3" w14:textId="69709DBE" w:rsidR="00EC3F4F" w:rsidRPr="003C064D" w:rsidRDefault="00EC3F4F">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Теплоснабжение: объект подключен к центральной системе теплоснабжения.</w:t>
            </w:r>
          </w:p>
          <w:p w14:paraId="077B51F7" w14:textId="69125FB0" w:rsidR="00EC3F4F" w:rsidRPr="003C064D" w:rsidRDefault="00EC3F4F">
            <w:pPr>
              <w:spacing w:after="0" w:line="240" w:lineRule="auto"/>
              <w:jc w:val="both"/>
              <w:rPr>
                <w:rFonts w:ascii="Times New Roman" w:hAnsi="Times New Roman" w:cs="Times New Roman"/>
                <w:sz w:val="24"/>
                <w:szCs w:val="24"/>
              </w:rPr>
            </w:pPr>
          </w:p>
        </w:tc>
      </w:tr>
      <w:tr w:rsidR="00532700" w:rsidRPr="003C064D" w14:paraId="2B2FBA92" w14:textId="77777777" w:rsidTr="00B648DC">
        <w:trPr>
          <w:jc w:val="center"/>
        </w:trPr>
        <w:tc>
          <w:tcPr>
            <w:tcW w:w="776" w:type="dxa"/>
          </w:tcPr>
          <w:p w14:paraId="3555A94A"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2.12.</w:t>
            </w:r>
          </w:p>
        </w:tc>
        <w:tc>
          <w:tcPr>
            <w:tcW w:w="3047" w:type="dxa"/>
          </w:tcPr>
          <w:p w14:paraId="324C5F04"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Иные характеристики имущества</w:t>
            </w:r>
          </w:p>
        </w:tc>
        <w:tc>
          <w:tcPr>
            <w:tcW w:w="5522" w:type="dxa"/>
          </w:tcPr>
          <w:p w14:paraId="36E5DBD8" w14:textId="4A4C5411" w:rsidR="00532700" w:rsidRPr="003C064D" w:rsidRDefault="00595EF9" w:rsidP="00EC3F4F">
            <w:pPr>
              <w:spacing w:after="0" w:line="240" w:lineRule="auto"/>
              <w:jc w:val="both"/>
              <w:rPr>
                <w:rFonts w:ascii="Times New Roman" w:hAnsi="Times New Roman" w:cs="Times New Roman"/>
                <w:color w:val="000000" w:themeColor="text1"/>
                <w:sz w:val="24"/>
                <w:szCs w:val="24"/>
              </w:rPr>
            </w:pPr>
            <w:r w:rsidRPr="003C064D">
              <w:rPr>
                <w:rFonts w:ascii="Times New Roman" w:hAnsi="Times New Roman" w:cs="Times New Roman"/>
                <w:color w:val="000000" w:themeColor="text1"/>
                <w:sz w:val="24"/>
                <w:szCs w:val="24"/>
              </w:rPr>
              <w:t xml:space="preserve">Нежилое здание с земельным участком расположено </w:t>
            </w:r>
            <w:r w:rsidR="00EC3F4F" w:rsidRPr="003C064D">
              <w:rPr>
                <w:rFonts w:ascii="Times New Roman" w:hAnsi="Times New Roman" w:cs="Times New Roman"/>
                <w:color w:val="000000" w:themeColor="text1"/>
                <w:sz w:val="24"/>
                <w:szCs w:val="24"/>
              </w:rPr>
              <w:t>в центре г. Данилов</w:t>
            </w:r>
            <w:r w:rsidRPr="003C064D">
              <w:rPr>
                <w:rFonts w:ascii="Times New Roman" w:hAnsi="Times New Roman" w:cs="Times New Roman"/>
                <w:color w:val="000000" w:themeColor="text1"/>
                <w:sz w:val="24"/>
                <w:szCs w:val="24"/>
              </w:rPr>
              <w:t xml:space="preserve"> Ярославской области. Прекрасная транспортная доступность. </w:t>
            </w:r>
            <w:r w:rsidR="00EC3F4F" w:rsidRPr="003C064D">
              <w:rPr>
                <w:rFonts w:ascii="Times New Roman" w:hAnsi="Times New Roman" w:cs="Times New Roman"/>
                <w:color w:val="000000" w:themeColor="text1"/>
                <w:sz w:val="24"/>
                <w:szCs w:val="24"/>
              </w:rPr>
              <w:t>Г</w:t>
            </w:r>
            <w:r w:rsidRPr="003C064D">
              <w:rPr>
                <w:rFonts w:ascii="Times New Roman" w:hAnsi="Times New Roman" w:cs="Times New Roman"/>
                <w:color w:val="000000" w:themeColor="text1"/>
                <w:sz w:val="24"/>
                <w:szCs w:val="24"/>
              </w:rPr>
              <w:t xml:space="preserve">ород </w:t>
            </w:r>
            <w:r w:rsidR="00EC3F4F" w:rsidRPr="003C064D">
              <w:rPr>
                <w:rFonts w:ascii="Times New Roman" w:hAnsi="Times New Roman" w:cs="Times New Roman"/>
                <w:color w:val="000000" w:themeColor="text1"/>
                <w:sz w:val="24"/>
                <w:szCs w:val="24"/>
              </w:rPr>
              <w:t>Данилов</w:t>
            </w:r>
            <w:r w:rsidRPr="003C064D">
              <w:rPr>
                <w:rFonts w:ascii="Times New Roman" w:hAnsi="Times New Roman" w:cs="Times New Roman"/>
                <w:color w:val="000000" w:themeColor="text1"/>
                <w:sz w:val="24"/>
                <w:szCs w:val="24"/>
              </w:rPr>
              <w:t xml:space="preserve"> в настоящее время развивается в сфере туризма, чем привлекает гостей из других городов.  </w:t>
            </w:r>
          </w:p>
        </w:tc>
      </w:tr>
      <w:tr w:rsidR="00532700" w:rsidRPr="003C064D" w14:paraId="61BF0F0B" w14:textId="77777777" w:rsidTr="00B648DC">
        <w:trPr>
          <w:jc w:val="center"/>
        </w:trPr>
        <w:tc>
          <w:tcPr>
            <w:tcW w:w="776" w:type="dxa"/>
          </w:tcPr>
          <w:p w14:paraId="6115495B"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2.13.</w:t>
            </w:r>
          </w:p>
        </w:tc>
        <w:tc>
          <w:tcPr>
            <w:tcW w:w="3047" w:type="dxa"/>
          </w:tcPr>
          <w:p w14:paraId="08AC0B7E"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Порядок ознакомления покупателей с имуществом, условиями договора купли-продажи, иной информацией</w:t>
            </w:r>
          </w:p>
        </w:tc>
        <w:tc>
          <w:tcPr>
            <w:tcW w:w="5522" w:type="dxa"/>
          </w:tcPr>
          <w:p w14:paraId="4FE66A91" w14:textId="2CEB6DA0" w:rsidR="00595EF9"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С информацией о проводимых торгах, проектом, условиями договора купли-продажи, формой заявки, иной информацией можно ознакомиться на сайте ЭТП, на официальном сайте Российской Федерации для размещения информации о проведении торгов https://torgi.gov.ru. официальном сайте продавца имущества</w:t>
            </w:r>
            <w:r w:rsidR="00D215CE">
              <w:rPr>
                <w:rFonts w:ascii="Times New Roman" w:hAnsi="Times New Roman" w:cs="Times New Roman"/>
                <w:sz w:val="24"/>
                <w:szCs w:val="24"/>
              </w:rPr>
              <w:t>, на сайте ЭТП</w:t>
            </w:r>
            <w:r w:rsidRPr="003C064D">
              <w:rPr>
                <w:rFonts w:ascii="Times New Roman" w:hAnsi="Times New Roman" w:cs="Times New Roman"/>
                <w:sz w:val="24"/>
                <w:szCs w:val="24"/>
              </w:rPr>
              <w:t>.</w:t>
            </w:r>
          </w:p>
          <w:p w14:paraId="2E17CA77" w14:textId="7F88F41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Осмотр имущества организуется по предварительной договоренности с продавцом по телефону: 8-4853</w:t>
            </w:r>
            <w:r w:rsidR="005E0818" w:rsidRPr="003C064D">
              <w:rPr>
                <w:rFonts w:ascii="Times New Roman" w:hAnsi="Times New Roman" w:cs="Times New Roman"/>
                <w:sz w:val="24"/>
                <w:szCs w:val="24"/>
              </w:rPr>
              <w:t>8-51299</w:t>
            </w:r>
          </w:p>
        </w:tc>
      </w:tr>
      <w:tr w:rsidR="00532700" w:rsidRPr="003C064D" w14:paraId="757E852B" w14:textId="77777777" w:rsidTr="00B648DC">
        <w:trPr>
          <w:jc w:val="center"/>
        </w:trPr>
        <w:tc>
          <w:tcPr>
            <w:tcW w:w="776" w:type="dxa"/>
          </w:tcPr>
          <w:p w14:paraId="79B114B3"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2.14.</w:t>
            </w:r>
          </w:p>
        </w:tc>
        <w:tc>
          <w:tcPr>
            <w:tcW w:w="3047" w:type="dxa"/>
          </w:tcPr>
          <w:p w14:paraId="197412F6"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Ссылка на отчет об объекте оценки</w:t>
            </w:r>
          </w:p>
        </w:tc>
        <w:tc>
          <w:tcPr>
            <w:tcW w:w="5522" w:type="dxa"/>
          </w:tcPr>
          <w:p w14:paraId="15082BA1" w14:textId="09A5B214" w:rsidR="005E0818" w:rsidRPr="003C064D" w:rsidRDefault="00861B6D" w:rsidP="005E0818">
            <w:pPr>
              <w:rPr>
                <w:rFonts w:ascii="Times New Roman" w:hAnsi="Times New Roman" w:cs="Times New Roman"/>
                <w:sz w:val="24"/>
                <w:szCs w:val="24"/>
              </w:rPr>
            </w:pPr>
            <w:hyperlink r:id="rId10" w:history="1">
              <w:r w:rsidR="00901E7E" w:rsidRPr="006A65CF">
                <w:rPr>
                  <w:rStyle w:val="a5"/>
                  <w:rFonts w:ascii="Times New Roman" w:hAnsi="Times New Roman" w:cs="Times New Roman"/>
                  <w:sz w:val="24"/>
                  <w:szCs w:val="24"/>
                </w:rPr>
                <w:t>https://fedresurs.ru/sfactmessages/b22dc0f0-d0f6-4c08-b294-a252911eab92</w:t>
              </w:r>
            </w:hyperlink>
            <w:r w:rsidR="00901E7E">
              <w:rPr>
                <w:rFonts w:ascii="Times New Roman" w:hAnsi="Times New Roman" w:cs="Times New Roman"/>
                <w:sz w:val="24"/>
                <w:szCs w:val="24"/>
              </w:rPr>
              <w:t xml:space="preserve"> </w:t>
            </w:r>
          </w:p>
        </w:tc>
      </w:tr>
      <w:tr w:rsidR="00532700" w:rsidRPr="003C064D" w14:paraId="282463E9" w14:textId="77777777" w:rsidTr="00B648DC">
        <w:trPr>
          <w:jc w:val="center"/>
        </w:trPr>
        <w:tc>
          <w:tcPr>
            <w:tcW w:w="776" w:type="dxa"/>
          </w:tcPr>
          <w:p w14:paraId="11C7BFFB"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3.</w:t>
            </w:r>
          </w:p>
        </w:tc>
        <w:tc>
          <w:tcPr>
            <w:tcW w:w="3047" w:type="dxa"/>
          </w:tcPr>
          <w:p w14:paraId="371CAF50"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Сведения обо всех предыдущих торгах по продаже имущества, объявленных в течение года</w:t>
            </w:r>
          </w:p>
        </w:tc>
        <w:tc>
          <w:tcPr>
            <w:tcW w:w="5522" w:type="dxa"/>
          </w:tcPr>
          <w:p w14:paraId="627E7391"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_</w:t>
            </w:r>
          </w:p>
        </w:tc>
      </w:tr>
      <w:tr w:rsidR="00532700" w:rsidRPr="003C064D" w14:paraId="0AA379C9" w14:textId="77777777" w:rsidTr="00B648DC">
        <w:trPr>
          <w:jc w:val="center"/>
        </w:trPr>
        <w:tc>
          <w:tcPr>
            <w:tcW w:w="776" w:type="dxa"/>
          </w:tcPr>
          <w:p w14:paraId="17199A25"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4.</w:t>
            </w:r>
          </w:p>
        </w:tc>
        <w:tc>
          <w:tcPr>
            <w:tcW w:w="3047" w:type="dxa"/>
          </w:tcPr>
          <w:p w14:paraId="4C3B2F45"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Порядок подачи заявки на участие в аукционе</w:t>
            </w:r>
          </w:p>
        </w:tc>
        <w:tc>
          <w:tcPr>
            <w:tcW w:w="5522" w:type="dxa"/>
          </w:tcPr>
          <w:p w14:paraId="15913BE4"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 xml:space="preserve">К участию в аукционе допускаются: физические и юридические лица, признаваемые покупателями в соответствии со ст. 5 Федерального закона о приватизации, своевременно подавшие заявку на участие в аукционе, представившие надлежащим образом оформленные документы в соответствии с перечнем, установленным в настоящем сообщении, и обеспечившие поступление на счет оператора </w:t>
            </w:r>
            <w:r w:rsidRPr="003C064D">
              <w:rPr>
                <w:rFonts w:ascii="Times New Roman" w:hAnsi="Times New Roman" w:cs="Times New Roman"/>
                <w:sz w:val="24"/>
                <w:szCs w:val="24"/>
              </w:rPr>
              <w:lastRenderedPageBreak/>
              <w:t>ЭТП, указанный в настоящем информационном сообщении, установленной суммы задатка в порядке и сроки, предусмотренные настоящим извещением.</w:t>
            </w:r>
          </w:p>
          <w:p w14:paraId="7FB35ACA"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Для участия в аукционе претенденты должны зарегистрироваться на официальном сайте ГИС Торги (https://torgi.gov.ru) либо на электронной площадке, указанной в настоящем сообщении.</w:t>
            </w:r>
          </w:p>
          <w:p w14:paraId="1EAEE3BB"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Одно лицо имеет право подать только одну заявку.</w:t>
            </w:r>
          </w:p>
          <w:p w14:paraId="36634996"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Заявка с прилагаемыми документами подается посредством штатного интерфейса электронной площадки.</w:t>
            </w:r>
          </w:p>
          <w:p w14:paraId="1A0AD25E"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Заявка и прилагаемые к ней документы должны быть заверены электронной подписью претендента, либо лица, имеющего право действовать от имени претендента.</w:t>
            </w:r>
          </w:p>
          <w:p w14:paraId="2C350F94" w14:textId="77777777" w:rsidR="00532700" w:rsidRPr="003C064D" w:rsidRDefault="00595EF9">
            <w:pPr>
              <w:spacing w:after="0" w:line="240" w:lineRule="auto"/>
              <w:jc w:val="both"/>
              <w:rPr>
                <w:rFonts w:ascii="Times New Roman" w:hAnsi="Times New Roman" w:cs="Times New Roman"/>
                <w:sz w:val="24"/>
                <w:szCs w:val="24"/>
                <w:highlight w:val="yellow"/>
              </w:rPr>
            </w:pPr>
            <w:r w:rsidRPr="003C064D">
              <w:rPr>
                <w:rFonts w:ascii="Times New Roman" w:hAnsi="Times New Roman" w:cs="Times New Roman"/>
                <w:sz w:val="24"/>
                <w:szCs w:val="24"/>
              </w:rPr>
              <w:t>До признания претендента участником аукциона он имеет право отозвать зарегистрированную заявку.</w:t>
            </w:r>
          </w:p>
        </w:tc>
      </w:tr>
      <w:tr w:rsidR="00532700" w:rsidRPr="003C064D" w14:paraId="46CB0193" w14:textId="77777777" w:rsidTr="00B648DC">
        <w:trPr>
          <w:jc w:val="center"/>
        </w:trPr>
        <w:tc>
          <w:tcPr>
            <w:tcW w:w="776" w:type="dxa"/>
          </w:tcPr>
          <w:p w14:paraId="3C83BF67"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lastRenderedPageBreak/>
              <w:t>5.</w:t>
            </w:r>
          </w:p>
        </w:tc>
        <w:tc>
          <w:tcPr>
            <w:tcW w:w="3047" w:type="dxa"/>
          </w:tcPr>
          <w:p w14:paraId="2552B2C7"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Перечень документов, предоставляемых для участия в аукционе</w:t>
            </w:r>
          </w:p>
        </w:tc>
        <w:tc>
          <w:tcPr>
            <w:tcW w:w="5522" w:type="dxa"/>
          </w:tcPr>
          <w:p w14:paraId="70A14665"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Одновременно с заявкой претенденты представляют следующие документы:</w:t>
            </w:r>
          </w:p>
          <w:p w14:paraId="7616832E"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b/>
                <w:bCs/>
                <w:sz w:val="24"/>
                <w:szCs w:val="24"/>
              </w:rPr>
              <w:t>Юридические лица</w:t>
            </w:r>
            <w:r w:rsidRPr="003C064D">
              <w:rPr>
                <w:rFonts w:ascii="Times New Roman" w:hAnsi="Times New Roman" w:cs="Times New Roman"/>
                <w:sz w:val="24"/>
                <w:szCs w:val="24"/>
              </w:rPr>
              <w:t>:</w:t>
            </w:r>
          </w:p>
          <w:p w14:paraId="58B36A87"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Заверенные копии учредительных документов;</w:t>
            </w:r>
          </w:p>
          <w:p w14:paraId="760AAFC1"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14:paraId="130582D7"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Документ, который подтверждает полномочия руководителя юридического лица на осуществлении действий от имени юридического лица (копия решения о назначении этого лица или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5579322B"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b/>
                <w:bCs/>
                <w:sz w:val="24"/>
                <w:szCs w:val="24"/>
              </w:rPr>
              <w:t>физические лица</w:t>
            </w:r>
            <w:r w:rsidRPr="003C064D">
              <w:rPr>
                <w:rFonts w:ascii="Times New Roman" w:hAnsi="Times New Roman" w:cs="Times New Roman"/>
                <w:sz w:val="24"/>
                <w:szCs w:val="24"/>
              </w:rPr>
              <w:t xml:space="preserve"> предъявляют документ, удостоверяющий личность, или представляют копии всех его листов.</w:t>
            </w:r>
          </w:p>
          <w:p w14:paraId="25868113"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 xml:space="preserve">В случае, если от имени претендента действует его представитель по доверенности, к заявке должна </w:t>
            </w:r>
            <w:r w:rsidRPr="003C064D">
              <w:rPr>
                <w:rFonts w:ascii="Times New Roman" w:hAnsi="Times New Roman" w:cs="Times New Roman"/>
                <w:sz w:val="24"/>
                <w:szCs w:val="24"/>
              </w:rPr>
              <w:lastRenderedPageBreak/>
              <w:t>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w:t>
            </w:r>
          </w:p>
          <w:p w14:paraId="34128D7F"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tc>
      </w:tr>
      <w:tr w:rsidR="00532700" w:rsidRPr="003C064D" w14:paraId="277684FC" w14:textId="77777777" w:rsidTr="00B648DC">
        <w:trPr>
          <w:jc w:val="center"/>
        </w:trPr>
        <w:tc>
          <w:tcPr>
            <w:tcW w:w="776" w:type="dxa"/>
          </w:tcPr>
          <w:p w14:paraId="75084655"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lastRenderedPageBreak/>
              <w:t>6.</w:t>
            </w:r>
          </w:p>
        </w:tc>
        <w:tc>
          <w:tcPr>
            <w:tcW w:w="3047" w:type="dxa"/>
          </w:tcPr>
          <w:p w14:paraId="597F143A"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Срок и порядок внесения задатка, реквизиты счета</w:t>
            </w:r>
          </w:p>
        </w:tc>
        <w:tc>
          <w:tcPr>
            <w:tcW w:w="5522" w:type="dxa"/>
          </w:tcPr>
          <w:p w14:paraId="7B37DDE4"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Задаток должен поступить не позднее срока окончания подачи заявок в безналичной форме на расчетный счет оператора электронной площадки в соответствии с регламентом электронной площадки по реквизитам, указанным в личном кабинете участника.</w:t>
            </w:r>
          </w:p>
          <w:p w14:paraId="29487874"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Претенденту на электронной площадке открывается лицевой счет.</w:t>
            </w:r>
          </w:p>
          <w:p w14:paraId="5C41C119"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Пополнение лицевого счета с целью дальнейшего использования денежных средств в качестве задатка производится в соответствии с штатным интерфейсом и регламентом ЭТП.</w:t>
            </w:r>
          </w:p>
          <w:p w14:paraId="6199B672"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Задаток возвращается лицам, которые участвовали в торгах (участникам аукциона), но не выиграли их Оператором ЭТП в соответствии с регламентом ЭТП в течение 5 (пяти) календарных дней со дня подписания протокола о признании претендентов участниками.</w:t>
            </w:r>
          </w:p>
          <w:p w14:paraId="60F90F80"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При заключении договора с лицом, выигравшим торги, сумма внесенного им задатка засчитывается в счет исполнения обязательств по заключенному договору. Перечисление задатка в таком случае осуществляется на счет продавца имущества Оператором ЭТП в соответствии с Регламентом и Инструкциями.</w:t>
            </w:r>
          </w:p>
          <w:p w14:paraId="4DD48468"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В случае отзыва претендентом заявки в установленном порядке до даты окончания приема заявок поступивший от претендента задаток подлежит возврату в срок не позднее чем 5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14:paraId="6CE85AA0"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lastRenderedPageBreak/>
              <w:t>Реквизиты счета указаны в структурированной форме информационного сообщения.</w:t>
            </w:r>
          </w:p>
          <w:p w14:paraId="28E9ABF4" w14:textId="4FE75C75"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w:t>
            </w:r>
            <w:r w:rsidR="005E0818" w:rsidRPr="003C064D">
              <w:rPr>
                <w:rFonts w:ascii="Times New Roman" w:hAnsi="Times New Roman" w:cs="Times New Roman"/>
                <w:sz w:val="24"/>
                <w:szCs w:val="24"/>
              </w:rPr>
              <w:t xml:space="preserve"> </w:t>
            </w:r>
            <w:r w:rsidRPr="003C064D">
              <w:rPr>
                <w:rFonts w:ascii="Times New Roman" w:hAnsi="Times New Roman" w:cs="Times New Roman"/>
                <w:sz w:val="24"/>
                <w:szCs w:val="24"/>
              </w:rPr>
              <w:t xml:space="preserve">подача претендентом заявки и перечисление задатка является акцептом такой оферты, после чего договор о задатке считается заключенным в установленном порядке.    </w:t>
            </w:r>
          </w:p>
        </w:tc>
      </w:tr>
      <w:tr w:rsidR="00532700" w:rsidRPr="003C064D" w14:paraId="27B1E17E" w14:textId="77777777" w:rsidTr="00B648DC">
        <w:trPr>
          <w:jc w:val="center"/>
        </w:trPr>
        <w:tc>
          <w:tcPr>
            <w:tcW w:w="776" w:type="dxa"/>
          </w:tcPr>
          <w:p w14:paraId="08D88D1E"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lastRenderedPageBreak/>
              <w:t>7.</w:t>
            </w:r>
          </w:p>
        </w:tc>
        <w:tc>
          <w:tcPr>
            <w:tcW w:w="3047" w:type="dxa"/>
          </w:tcPr>
          <w:p w14:paraId="76AA7C01"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Форма подачи предложений о цене</w:t>
            </w:r>
          </w:p>
        </w:tc>
        <w:tc>
          <w:tcPr>
            <w:tcW w:w="5522" w:type="dxa"/>
          </w:tcPr>
          <w:p w14:paraId="056436D7"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 xml:space="preserve">Форма подачи предложений о цене открытая. </w:t>
            </w:r>
          </w:p>
          <w:p w14:paraId="70988EF9" w14:textId="77777777" w:rsidR="00532700" w:rsidRPr="003C064D" w:rsidRDefault="00595EF9">
            <w:pPr>
              <w:spacing w:after="0" w:line="240" w:lineRule="auto"/>
              <w:jc w:val="both"/>
              <w:rPr>
                <w:rFonts w:ascii="Times New Roman" w:hAnsi="Times New Roman" w:cs="Times New Roman"/>
                <w:sz w:val="24"/>
                <w:szCs w:val="24"/>
                <w:highlight w:val="yellow"/>
              </w:rPr>
            </w:pPr>
            <w:r w:rsidRPr="003C064D">
              <w:rPr>
                <w:rFonts w:ascii="Times New Roman" w:hAnsi="Times New Roman" w:cs="Times New Roman"/>
                <w:sz w:val="24"/>
                <w:szCs w:val="24"/>
              </w:rPr>
              <w:t>Предложение о цене осуществляется участником, допущенным до участия в торгах в течение процедуры проведения аукциона посредством штатного интерфейса электронной площадки в день и время проведения аукциона, указанные в настоящем извещении.</w:t>
            </w:r>
          </w:p>
        </w:tc>
      </w:tr>
      <w:tr w:rsidR="00532700" w:rsidRPr="003C064D" w14:paraId="588F156F" w14:textId="77777777" w:rsidTr="00B648DC">
        <w:trPr>
          <w:jc w:val="center"/>
        </w:trPr>
        <w:tc>
          <w:tcPr>
            <w:tcW w:w="776" w:type="dxa"/>
          </w:tcPr>
          <w:p w14:paraId="6E245C23"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8.</w:t>
            </w:r>
          </w:p>
        </w:tc>
        <w:tc>
          <w:tcPr>
            <w:tcW w:w="3047" w:type="dxa"/>
          </w:tcPr>
          <w:p w14:paraId="03EFA1DB"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Ограничения участия отдельных категорий физических лиц и юридических лиц в приватизации такого имущества</w:t>
            </w:r>
          </w:p>
        </w:tc>
        <w:tc>
          <w:tcPr>
            <w:tcW w:w="5522" w:type="dxa"/>
          </w:tcPr>
          <w:p w14:paraId="1B20FAD8"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Покупателями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законодательством,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14:paraId="5B43F15B" w14:textId="77777777" w:rsidR="00532700" w:rsidRPr="003C064D" w:rsidRDefault="00532700">
            <w:pPr>
              <w:spacing w:after="0" w:line="240" w:lineRule="auto"/>
              <w:jc w:val="both"/>
              <w:rPr>
                <w:rFonts w:ascii="Times New Roman" w:hAnsi="Times New Roman" w:cs="Times New Roman"/>
                <w:sz w:val="24"/>
                <w:szCs w:val="24"/>
                <w:highlight w:val="yellow"/>
              </w:rPr>
            </w:pPr>
          </w:p>
        </w:tc>
      </w:tr>
      <w:tr w:rsidR="00532700" w:rsidRPr="003C064D" w14:paraId="6B650435" w14:textId="77777777" w:rsidTr="00B648DC">
        <w:trPr>
          <w:jc w:val="center"/>
        </w:trPr>
        <w:tc>
          <w:tcPr>
            <w:tcW w:w="776" w:type="dxa"/>
          </w:tcPr>
          <w:p w14:paraId="04363A50"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9.</w:t>
            </w:r>
          </w:p>
        </w:tc>
        <w:tc>
          <w:tcPr>
            <w:tcW w:w="3047" w:type="dxa"/>
          </w:tcPr>
          <w:p w14:paraId="2F67D3A0"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bCs/>
                <w:sz w:val="24"/>
                <w:szCs w:val="24"/>
              </w:rPr>
              <w:t xml:space="preserve">Порядок проведения аукциона, </w:t>
            </w:r>
            <w:r w:rsidRPr="003C064D">
              <w:rPr>
                <w:rFonts w:ascii="Times New Roman" w:hAnsi="Times New Roman" w:cs="Times New Roman"/>
                <w:sz w:val="24"/>
                <w:szCs w:val="24"/>
              </w:rPr>
              <w:t>определения победителя</w:t>
            </w:r>
          </w:p>
        </w:tc>
        <w:tc>
          <w:tcPr>
            <w:tcW w:w="5522" w:type="dxa"/>
          </w:tcPr>
          <w:p w14:paraId="3D2E5C52"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 xml:space="preserve">Аукцион проводится в указанные в информационном сообщении день и время путем последовательного повышения участниками начальной цены продажи на величину, равную либо кратную величине «шага аукциона». </w:t>
            </w:r>
          </w:p>
          <w:p w14:paraId="36987C4C"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lastRenderedPageBreak/>
              <w:t>«Шаг аукциона» составляет 5 процентов начальной цены продажи имущества, указанной в информационном сообщении. «Шаг аукциона» не изменяется в течение всего аукциона.</w:t>
            </w:r>
          </w:p>
          <w:p w14:paraId="12E54687"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 xml:space="preserve"> 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 </w:t>
            </w:r>
          </w:p>
          <w:p w14:paraId="00CF777F"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 xml:space="preserve">  Со времени начала проведения процедуры аукциона оператором размещается: </w:t>
            </w:r>
          </w:p>
          <w:p w14:paraId="3227FD6F"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 xml:space="preserve">-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 </w:t>
            </w:r>
          </w:p>
          <w:p w14:paraId="43324AF1"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 </w:t>
            </w:r>
          </w:p>
          <w:p w14:paraId="7B71C6B1"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 xml:space="preserve">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 </w:t>
            </w:r>
          </w:p>
          <w:p w14:paraId="56E0733A"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 xml:space="preserve">-поступило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 </w:t>
            </w:r>
          </w:p>
          <w:p w14:paraId="7BB16CE1"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 xml:space="preserve">-не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 </w:t>
            </w:r>
          </w:p>
          <w:p w14:paraId="60AAFAC2"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lastRenderedPageBreak/>
              <w:t xml:space="preserve"> Во время проведения процедуры аукциона программными средствами электронной площадки обеспечивается: </w:t>
            </w:r>
          </w:p>
          <w:p w14:paraId="1A62CA9B"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 xml:space="preserve">-исключение возможности подачи участником предложения о цене имущества, не соответствующего увеличению текущей цены на величину "шага аукциона"; </w:t>
            </w:r>
          </w:p>
          <w:p w14:paraId="5B0365E3"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 xml:space="preserve">-уведомление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 </w:t>
            </w:r>
          </w:p>
          <w:p w14:paraId="2C689D8B"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 xml:space="preserve"> Победителем аукциона признается участник, предложивший наибольшую цену имущества. </w:t>
            </w:r>
          </w:p>
          <w:p w14:paraId="44709C70"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 xml:space="preserve">  Аукцион признается несостоявшимся в следующих случаях:</w:t>
            </w:r>
          </w:p>
          <w:p w14:paraId="2F2E3E58"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а) не было подано ни одной заявки на участие либо ни один из претендентов не признан участником;</w:t>
            </w:r>
          </w:p>
          <w:p w14:paraId="1C1A7EA7"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б) лицо, признанное единственным участником аукциона, отказалось от заключения договора купли-продажи;</w:t>
            </w:r>
          </w:p>
          <w:p w14:paraId="3F79877D"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в) ни один из участников не сделал предложение о начальной цене имущества.</w:t>
            </w:r>
          </w:p>
          <w:p w14:paraId="344F9071" w14:textId="77777777" w:rsidR="00532700" w:rsidRPr="003C064D" w:rsidRDefault="00532700">
            <w:pPr>
              <w:spacing w:after="0" w:line="240" w:lineRule="auto"/>
              <w:jc w:val="both"/>
              <w:rPr>
                <w:rFonts w:ascii="Times New Roman" w:hAnsi="Times New Roman" w:cs="Times New Roman"/>
                <w:sz w:val="24"/>
                <w:szCs w:val="24"/>
                <w:highlight w:val="yellow"/>
              </w:rPr>
            </w:pPr>
          </w:p>
        </w:tc>
      </w:tr>
      <w:tr w:rsidR="00532700" w:rsidRPr="003C064D" w14:paraId="24024887" w14:textId="77777777" w:rsidTr="00B648DC">
        <w:trPr>
          <w:jc w:val="center"/>
        </w:trPr>
        <w:tc>
          <w:tcPr>
            <w:tcW w:w="776" w:type="dxa"/>
          </w:tcPr>
          <w:p w14:paraId="1D5F5832"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lastRenderedPageBreak/>
              <w:t>10.</w:t>
            </w:r>
          </w:p>
        </w:tc>
        <w:tc>
          <w:tcPr>
            <w:tcW w:w="3047" w:type="dxa"/>
          </w:tcPr>
          <w:p w14:paraId="6DC74237"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bCs/>
                <w:sz w:val="24"/>
                <w:szCs w:val="24"/>
              </w:rPr>
              <w:t>Место и срок подведения итогов аукциона</w:t>
            </w:r>
          </w:p>
        </w:tc>
        <w:tc>
          <w:tcPr>
            <w:tcW w:w="5522" w:type="dxa"/>
          </w:tcPr>
          <w:p w14:paraId="10441FD6"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 xml:space="preserve">Подведение итогов аукциона проводится на электронной площадке, указанной в настоящем сообщении. Ход проведения процедуры аукциона   фиксируется оператором в электронном журнале, который направляется организатору торгов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 </w:t>
            </w:r>
          </w:p>
          <w:p w14:paraId="2085FEEE"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Процедура аукциона считается завершенной со времени подписания протокола   об итогах аукциона в соответствии с настоящим сообщением и регламентом ЭТП.</w:t>
            </w:r>
          </w:p>
          <w:p w14:paraId="4F91AE0D"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 xml:space="preserve">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 </w:t>
            </w:r>
          </w:p>
          <w:p w14:paraId="22CF0E67"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lastRenderedPageBreak/>
              <w:t xml:space="preserve">- наименование имущества и иные позволяющие его индивидуализировать сведения; </w:t>
            </w:r>
          </w:p>
          <w:p w14:paraId="7C684B8C"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 xml:space="preserve">- цена сделки; </w:t>
            </w:r>
          </w:p>
          <w:p w14:paraId="48273AA9" w14:textId="77777777" w:rsidR="00532700" w:rsidRPr="003C064D" w:rsidRDefault="00595EF9">
            <w:pPr>
              <w:spacing w:after="0" w:line="240" w:lineRule="auto"/>
              <w:jc w:val="both"/>
              <w:rPr>
                <w:rFonts w:ascii="Times New Roman" w:hAnsi="Times New Roman" w:cs="Times New Roman"/>
                <w:sz w:val="24"/>
                <w:szCs w:val="24"/>
                <w:highlight w:val="yellow"/>
              </w:rPr>
            </w:pPr>
            <w:r w:rsidRPr="003C064D">
              <w:rPr>
                <w:rFonts w:ascii="Times New Roman" w:hAnsi="Times New Roman" w:cs="Times New Roman"/>
                <w:sz w:val="24"/>
                <w:szCs w:val="24"/>
              </w:rPr>
              <w:t>- фамилия, имя, отчество физического лица или наименование юридического лица – победителя.</w:t>
            </w:r>
          </w:p>
        </w:tc>
      </w:tr>
      <w:tr w:rsidR="00532700" w:rsidRPr="003C064D" w14:paraId="4BA50842" w14:textId="77777777" w:rsidTr="00B648DC">
        <w:trPr>
          <w:jc w:val="center"/>
        </w:trPr>
        <w:tc>
          <w:tcPr>
            <w:tcW w:w="776" w:type="dxa"/>
          </w:tcPr>
          <w:p w14:paraId="06A52270"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lastRenderedPageBreak/>
              <w:t>11.</w:t>
            </w:r>
          </w:p>
        </w:tc>
        <w:tc>
          <w:tcPr>
            <w:tcW w:w="3047" w:type="dxa"/>
          </w:tcPr>
          <w:p w14:paraId="0826C96E"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Срок заключения договора купли-продажи</w:t>
            </w:r>
          </w:p>
        </w:tc>
        <w:tc>
          <w:tcPr>
            <w:tcW w:w="5522" w:type="dxa"/>
          </w:tcPr>
          <w:p w14:paraId="530A30EA" w14:textId="77777777"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Договор купли-продажи имущества заключается между Продавцом и победителем аукциона либо лицом, признанным единственным участником аукциона, в течение 5 рабочих дней со дня подведения итогов аукциона.</w:t>
            </w:r>
          </w:p>
          <w:p w14:paraId="49036470" w14:textId="5F378759" w:rsidR="00532700" w:rsidRPr="003C064D" w:rsidRDefault="00595EF9">
            <w:pPr>
              <w:jc w:val="both"/>
              <w:rPr>
                <w:rFonts w:ascii="Times New Roman" w:hAnsi="Times New Roman" w:cs="Times New Roman"/>
                <w:sz w:val="24"/>
                <w:szCs w:val="24"/>
              </w:rPr>
            </w:pPr>
            <w:r w:rsidRPr="003C064D">
              <w:rPr>
                <w:rFonts w:ascii="Times New Roman" w:hAnsi="Times New Roman" w:cs="Times New Roman"/>
                <w:sz w:val="24"/>
                <w:szCs w:val="24"/>
              </w:rPr>
              <w:t>Договор купли-продажи имущества заключается в форме электронного документа с применением функционала государственной информационной системы «официальный сайт Российской Федерации в информационно-телекоммуникационной сети «Интернет» для размещения информации о проведении торгов https://torgi.gov.ru.</w:t>
            </w:r>
          </w:p>
          <w:p w14:paraId="2230F7F4"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При уклонении или отказе победителя аукциона, либо единственного участника аукциона от заключения в установленный срок договора купли-продажи имущества результаты продажи аннулируются Продавцом, победитель или единственный участник аукциона утрачивает право на заключение указанного договора, задаток ему не возвращается.</w:t>
            </w:r>
          </w:p>
        </w:tc>
      </w:tr>
      <w:tr w:rsidR="00532700" w:rsidRPr="003C064D" w14:paraId="473995B6" w14:textId="77777777" w:rsidTr="00B648DC">
        <w:trPr>
          <w:jc w:val="center"/>
        </w:trPr>
        <w:tc>
          <w:tcPr>
            <w:tcW w:w="776" w:type="dxa"/>
          </w:tcPr>
          <w:p w14:paraId="153AA3CC"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12.</w:t>
            </w:r>
          </w:p>
        </w:tc>
        <w:tc>
          <w:tcPr>
            <w:tcW w:w="3047" w:type="dxa"/>
          </w:tcPr>
          <w:p w14:paraId="05AA7818"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Условия и сроки оплаты имущества</w:t>
            </w:r>
          </w:p>
        </w:tc>
        <w:tc>
          <w:tcPr>
            <w:tcW w:w="5522" w:type="dxa"/>
          </w:tcPr>
          <w:p w14:paraId="77CDDFEC"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Оплата за приобретенный Объект производится в течение 10 рабочих дней с момента заключения договора купли-продажи по следующим реквизитам:</w:t>
            </w:r>
          </w:p>
          <w:p w14:paraId="371B99A8" w14:textId="77777777" w:rsidR="003C064D" w:rsidRPr="003C064D" w:rsidRDefault="00595EF9" w:rsidP="003C064D">
            <w:pPr>
              <w:pStyle w:val="ConsPlusNonformat"/>
              <w:jc w:val="both"/>
              <w:rPr>
                <w:rFonts w:ascii="Times New Roman" w:hAnsi="Times New Roman" w:cs="Times New Roman"/>
                <w:sz w:val="24"/>
                <w:szCs w:val="24"/>
              </w:rPr>
            </w:pPr>
            <w:r w:rsidRPr="003C064D">
              <w:rPr>
                <w:rFonts w:ascii="Times New Roman" w:hAnsi="Times New Roman" w:cs="Times New Roman"/>
                <w:sz w:val="24"/>
                <w:szCs w:val="24"/>
              </w:rPr>
              <w:t xml:space="preserve">Получатель: </w:t>
            </w:r>
            <w:r w:rsidR="003C064D" w:rsidRPr="003C064D">
              <w:rPr>
                <w:rFonts w:ascii="Times New Roman" w:hAnsi="Times New Roman" w:cs="Times New Roman"/>
                <w:sz w:val="24"/>
                <w:szCs w:val="24"/>
              </w:rPr>
              <w:t>УФК по Ярославской области (Отдел по муниципальному имуществу и земельным отношениям Администрации городского поселения Данилов, л/с 04713002600)</w:t>
            </w:r>
          </w:p>
          <w:p w14:paraId="32B7F887" w14:textId="77777777" w:rsidR="003C064D" w:rsidRPr="003C064D" w:rsidRDefault="003C064D">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ИНН 7617008002 КПП 761701001</w:t>
            </w:r>
          </w:p>
          <w:p w14:paraId="091D069D" w14:textId="3605C0EB" w:rsidR="003C064D" w:rsidRPr="003C064D" w:rsidRDefault="003C064D" w:rsidP="003C064D">
            <w:pPr>
              <w:pStyle w:val="ConsPlusNonformat"/>
              <w:jc w:val="both"/>
              <w:rPr>
                <w:rFonts w:ascii="Times New Roman" w:hAnsi="Times New Roman" w:cs="Times New Roman"/>
                <w:sz w:val="24"/>
                <w:szCs w:val="24"/>
              </w:rPr>
            </w:pPr>
            <w:r w:rsidRPr="003C064D">
              <w:rPr>
                <w:rFonts w:ascii="Times New Roman" w:hAnsi="Times New Roman" w:cs="Times New Roman"/>
                <w:b/>
                <w:bCs/>
                <w:sz w:val="24"/>
                <w:szCs w:val="24"/>
                <w:lang w:val="x-none"/>
              </w:rPr>
              <w:t>Счет получателя</w:t>
            </w:r>
            <w:r w:rsidRPr="003C064D">
              <w:rPr>
                <w:rFonts w:ascii="Times New Roman" w:hAnsi="Times New Roman" w:cs="Times New Roman"/>
                <w:bCs/>
                <w:sz w:val="24"/>
                <w:szCs w:val="24"/>
                <w:lang w:val="x-none"/>
              </w:rPr>
              <w:t xml:space="preserve">: </w:t>
            </w:r>
            <w:r w:rsidRPr="003C064D">
              <w:rPr>
                <w:rFonts w:ascii="Times New Roman" w:hAnsi="Times New Roman" w:cs="Times New Roman"/>
                <w:sz w:val="24"/>
                <w:szCs w:val="24"/>
              </w:rPr>
              <w:t>03100643000000017100, номер кор./</w:t>
            </w:r>
            <w:proofErr w:type="spellStart"/>
            <w:r w:rsidRPr="003C064D">
              <w:rPr>
                <w:rFonts w:ascii="Times New Roman" w:hAnsi="Times New Roman" w:cs="Times New Roman"/>
                <w:sz w:val="24"/>
                <w:szCs w:val="24"/>
              </w:rPr>
              <w:t>сч</w:t>
            </w:r>
            <w:proofErr w:type="spellEnd"/>
            <w:r w:rsidRPr="003C064D">
              <w:rPr>
                <w:rFonts w:ascii="Times New Roman" w:hAnsi="Times New Roman" w:cs="Times New Roman"/>
                <w:sz w:val="24"/>
                <w:szCs w:val="24"/>
              </w:rPr>
              <w:t>. банка получателя платежа: 40102810245370000065, банк: ОТДЕЛЕНИЕ ЯРОСЛАВЛЬ БАНКА РОССИИ//УФК по Ярославской области г. Ярославль, ИНН 7617008002, КПП 761701001, БИК 017888102, КБК, ОКТМО 78615101.</w:t>
            </w:r>
          </w:p>
          <w:p w14:paraId="223B2726" w14:textId="77777777" w:rsidR="003C064D" w:rsidRPr="003C064D" w:rsidRDefault="003C064D">
            <w:pPr>
              <w:spacing w:after="0" w:line="240" w:lineRule="auto"/>
              <w:jc w:val="both"/>
              <w:rPr>
                <w:rFonts w:ascii="Times New Roman" w:hAnsi="Times New Roman" w:cs="Times New Roman"/>
                <w:sz w:val="24"/>
                <w:szCs w:val="24"/>
              </w:rPr>
            </w:pPr>
          </w:p>
          <w:p w14:paraId="642815CC" w14:textId="5259B059"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 xml:space="preserve">КБК – соответствующий </w:t>
            </w:r>
            <w:proofErr w:type="spellStart"/>
            <w:r w:rsidRPr="003C064D">
              <w:rPr>
                <w:rFonts w:ascii="Times New Roman" w:hAnsi="Times New Roman" w:cs="Times New Roman"/>
                <w:sz w:val="24"/>
                <w:szCs w:val="24"/>
              </w:rPr>
              <w:t>поступаемому</w:t>
            </w:r>
            <w:proofErr w:type="spellEnd"/>
            <w:r w:rsidRPr="003C064D">
              <w:rPr>
                <w:rFonts w:ascii="Times New Roman" w:hAnsi="Times New Roman" w:cs="Times New Roman"/>
                <w:sz w:val="24"/>
                <w:szCs w:val="24"/>
              </w:rPr>
              <w:t xml:space="preserve"> доходу</w:t>
            </w:r>
          </w:p>
          <w:p w14:paraId="70D90D8C"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 xml:space="preserve">Получатель: </w:t>
            </w:r>
          </w:p>
          <w:p w14:paraId="51E996EA" w14:textId="087FC8D8"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 xml:space="preserve">КБК </w:t>
            </w:r>
            <w:r w:rsidR="003C064D" w:rsidRPr="003C064D">
              <w:rPr>
                <w:rFonts w:ascii="Times New Roman" w:hAnsi="Times New Roman" w:cs="Times New Roman"/>
                <w:b/>
                <w:bCs/>
                <w:sz w:val="24"/>
                <w:szCs w:val="24"/>
              </w:rPr>
              <w:t>70511402053130000410</w:t>
            </w:r>
            <w:r w:rsidR="003C064D" w:rsidRPr="003C064D">
              <w:rPr>
                <w:rFonts w:ascii="Times New Roman" w:hAnsi="Times New Roman" w:cs="Times New Roman"/>
                <w:sz w:val="24"/>
                <w:szCs w:val="24"/>
              </w:rPr>
              <w:t xml:space="preserve"> </w:t>
            </w:r>
            <w:r w:rsidRPr="003C064D">
              <w:rPr>
                <w:rFonts w:ascii="Times New Roman" w:hAnsi="Times New Roman" w:cs="Times New Roman"/>
                <w:sz w:val="24"/>
                <w:szCs w:val="24"/>
              </w:rPr>
              <w:t>(объект недвижимости),</w:t>
            </w:r>
          </w:p>
          <w:p w14:paraId="094F6DF2" w14:textId="4E6BFBDE" w:rsidR="00532700" w:rsidRPr="003C064D" w:rsidRDefault="00595EF9">
            <w:pPr>
              <w:spacing w:after="0" w:line="240" w:lineRule="auto"/>
              <w:jc w:val="both"/>
              <w:rPr>
                <w:rFonts w:ascii="Times New Roman" w:hAnsi="Times New Roman" w:cs="Times New Roman"/>
                <w:sz w:val="24"/>
                <w:szCs w:val="24"/>
                <w:highlight w:val="yellow"/>
              </w:rPr>
            </w:pPr>
            <w:r w:rsidRPr="003C064D">
              <w:rPr>
                <w:rFonts w:ascii="Times New Roman" w:hAnsi="Times New Roman" w:cs="Times New Roman"/>
                <w:sz w:val="24"/>
                <w:szCs w:val="24"/>
              </w:rPr>
              <w:t xml:space="preserve">КБК </w:t>
            </w:r>
            <w:r w:rsidR="003C064D" w:rsidRPr="005210B1">
              <w:rPr>
                <w:rFonts w:ascii="Times New Roman" w:hAnsi="Times New Roman" w:cs="Times New Roman"/>
                <w:b/>
                <w:bCs/>
                <w:sz w:val="24"/>
                <w:szCs w:val="24"/>
              </w:rPr>
              <w:t>70511406025130000430</w:t>
            </w:r>
            <w:r w:rsidR="003C064D" w:rsidRPr="003C064D">
              <w:rPr>
                <w:rFonts w:ascii="Times New Roman" w:hAnsi="Times New Roman" w:cs="Times New Roman"/>
                <w:sz w:val="24"/>
                <w:szCs w:val="24"/>
              </w:rPr>
              <w:t xml:space="preserve"> </w:t>
            </w:r>
            <w:r w:rsidRPr="003C064D">
              <w:rPr>
                <w:rFonts w:ascii="Times New Roman" w:hAnsi="Times New Roman" w:cs="Times New Roman"/>
                <w:sz w:val="24"/>
                <w:szCs w:val="24"/>
              </w:rPr>
              <w:t>(земельный участок).</w:t>
            </w:r>
          </w:p>
        </w:tc>
      </w:tr>
      <w:tr w:rsidR="00532700" w:rsidRPr="003C064D" w14:paraId="64872789" w14:textId="77777777" w:rsidTr="00B648DC">
        <w:trPr>
          <w:jc w:val="center"/>
        </w:trPr>
        <w:tc>
          <w:tcPr>
            <w:tcW w:w="776" w:type="dxa"/>
          </w:tcPr>
          <w:p w14:paraId="073134D2"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lastRenderedPageBreak/>
              <w:t>13.</w:t>
            </w:r>
          </w:p>
        </w:tc>
        <w:tc>
          <w:tcPr>
            <w:tcW w:w="3047" w:type="dxa"/>
          </w:tcPr>
          <w:p w14:paraId="05C41DA1"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Срок отказа организатора от проведения процедуры торгов</w:t>
            </w:r>
          </w:p>
        </w:tc>
        <w:tc>
          <w:tcPr>
            <w:tcW w:w="5522" w:type="dxa"/>
          </w:tcPr>
          <w:p w14:paraId="4FB16BF3" w14:textId="77777777" w:rsidR="00532700" w:rsidRPr="003C064D" w:rsidRDefault="00595EF9">
            <w:pPr>
              <w:spacing w:after="0" w:line="240" w:lineRule="auto"/>
              <w:jc w:val="both"/>
              <w:rPr>
                <w:rFonts w:ascii="Times New Roman" w:hAnsi="Times New Roman" w:cs="Times New Roman"/>
                <w:sz w:val="24"/>
                <w:szCs w:val="24"/>
              </w:rPr>
            </w:pPr>
            <w:r w:rsidRPr="003C064D">
              <w:rPr>
                <w:rFonts w:ascii="Times New Roman" w:hAnsi="Times New Roman" w:cs="Times New Roman"/>
                <w:sz w:val="24"/>
                <w:szCs w:val="24"/>
              </w:rPr>
              <w:t>Организатор торгов, опубликовавший извещение, вправе отказаться от проведения аукциона в любое время, но не позднее чем за три дня до наступления даты его проведения</w:t>
            </w:r>
          </w:p>
        </w:tc>
      </w:tr>
    </w:tbl>
    <w:p w14:paraId="30049FF1" w14:textId="77777777" w:rsidR="00532700" w:rsidRPr="003C064D" w:rsidRDefault="00532700">
      <w:pPr>
        <w:tabs>
          <w:tab w:val="left" w:pos="6930"/>
        </w:tabs>
        <w:rPr>
          <w:rFonts w:ascii="Times New Roman" w:hAnsi="Times New Roman" w:cs="Times New Roman"/>
          <w:sz w:val="24"/>
          <w:szCs w:val="24"/>
        </w:rPr>
      </w:pPr>
    </w:p>
    <w:sectPr w:rsidR="00532700" w:rsidRPr="003C064D">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9C789" w14:textId="77777777" w:rsidR="00861B6D" w:rsidRDefault="00861B6D">
      <w:pPr>
        <w:spacing w:line="240" w:lineRule="auto"/>
      </w:pPr>
      <w:r>
        <w:separator/>
      </w:r>
    </w:p>
  </w:endnote>
  <w:endnote w:type="continuationSeparator" w:id="0">
    <w:p w14:paraId="795FE96D" w14:textId="77777777" w:rsidR="00861B6D" w:rsidRDefault="00861B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69423c">
    <w:altName w:val="Segoe Print"/>
    <w:charset w:val="00"/>
    <w:family w:val="auto"/>
    <w:pitch w:val="default"/>
  </w:font>
  <w:font w:name="7b857f">
    <w:altName w:val="Segoe Print"/>
    <w:charset w:val="00"/>
    <w:family w:val="auto"/>
    <w:pitch w:val="default"/>
  </w:font>
  <w:font w:name="046aef">
    <w:altName w:val="Segoe Print"/>
    <w:charset w:val="00"/>
    <w:family w:val="auto"/>
    <w:pitch w:val="default"/>
  </w:font>
  <w:font w:name="sans-serif">
    <w:altName w:val="Segoe Print"/>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167532"/>
    </w:sdtPr>
    <w:sdtEndPr/>
    <w:sdtContent>
      <w:p w14:paraId="43D83551" w14:textId="77777777" w:rsidR="00532700" w:rsidRDefault="00595EF9">
        <w:pPr>
          <w:pStyle w:val="ac"/>
          <w:jc w:val="center"/>
        </w:pPr>
        <w:r>
          <w:fldChar w:fldCharType="begin"/>
        </w:r>
        <w:r>
          <w:instrText>PAGE   \* MERGEFORMAT</w:instrText>
        </w:r>
        <w:r>
          <w:fldChar w:fldCharType="separate"/>
        </w:r>
        <w:r>
          <w:t>18</w:t>
        </w:r>
        <w:r>
          <w:fldChar w:fldCharType="end"/>
        </w:r>
      </w:p>
    </w:sdtContent>
  </w:sdt>
  <w:p w14:paraId="58823EB7" w14:textId="77777777" w:rsidR="00532700" w:rsidRDefault="0053270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73B5C" w14:textId="77777777" w:rsidR="00861B6D" w:rsidRDefault="00861B6D">
      <w:pPr>
        <w:spacing w:after="0"/>
      </w:pPr>
      <w:r>
        <w:separator/>
      </w:r>
    </w:p>
  </w:footnote>
  <w:footnote w:type="continuationSeparator" w:id="0">
    <w:p w14:paraId="53242C04" w14:textId="77777777" w:rsidR="00861B6D" w:rsidRDefault="00861B6D">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E9A"/>
    <w:rsid w:val="00033D9F"/>
    <w:rsid w:val="000577D2"/>
    <w:rsid w:val="00072AF6"/>
    <w:rsid w:val="00072B47"/>
    <w:rsid w:val="000C3B5C"/>
    <w:rsid w:val="000D0313"/>
    <w:rsid w:val="000F3AA5"/>
    <w:rsid w:val="00105D61"/>
    <w:rsid w:val="00146B9C"/>
    <w:rsid w:val="00162124"/>
    <w:rsid w:val="00167F43"/>
    <w:rsid w:val="001724A4"/>
    <w:rsid w:val="001727E4"/>
    <w:rsid w:val="00194699"/>
    <w:rsid w:val="001E1CA5"/>
    <w:rsid w:val="001F21D5"/>
    <w:rsid w:val="001F6CAA"/>
    <w:rsid w:val="00215FB6"/>
    <w:rsid w:val="0022630D"/>
    <w:rsid w:val="00231A8C"/>
    <w:rsid w:val="00252E9A"/>
    <w:rsid w:val="002B3A36"/>
    <w:rsid w:val="002C22E7"/>
    <w:rsid w:val="002D0860"/>
    <w:rsid w:val="002E6437"/>
    <w:rsid w:val="00302262"/>
    <w:rsid w:val="00306498"/>
    <w:rsid w:val="00306DE7"/>
    <w:rsid w:val="00352967"/>
    <w:rsid w:val="003B0FCF"/>
    <w:rsid w:val="003C064D"/>
    <w:rsid w:val="00401391"/>
    <w:rsid w:val="00417F13"/>
    <w:rsid w:val="0043010D"/>
    <w:rsid w:val="0043352D"/>
    <w:rsid w:val="00457D44"/>
    <w:rsid w:val="0046457C"/>
    <w:rsid w:val="00496A8B"/>
    <w:rsid w:val="004A054B"/>
    <w:rsid w:val="004F5FFC"/>
    <w:rsid w:val="005210B1"/>
    <w:rsid w:val="00532700"/>
    <w:rsid w:val="00554A0C"/>
    <w:rsid w:val="00562565"/>
    <w:rsid w:val="00591090"/>
    <w:rsid w:val="00595EF9"/>
    <w:rsid w:val="005B0EB5"/>
    <w:rsid w:val="005D68E9"/>
    <w:rsid w:val="005E0818"/>
    <w:rsid w:val="005E66B1"/>
    <w:rsid w:val="005F37C0"/>
    <w:rsid w:val="00690F73"/>
    <w:rsid w:val="00697FBA"/>
    <w:rsid w:val="006C58BC"/>
    <w:rsid w:val="007461DC"/>
    <w:rsid w:val="007A0A3F"/>
    <w:rsid w:val="007A3C91"/>
    <w:rsid w:val="007A4302"/>
    <w:rsid w:val="008304D4"/>
    <w:rsid w:val="008433F5"/>
    <w:rsid w:val="00847827"/>
    <w:rsid w:val="00861B6D"/>
    <w:rsid w:val="00882961"/>
    <w:rsid w:val="00894C73"/>
    <w:rsid w:val="008A3253"/>
    <w:rsid w:val="008C667A"/>
    <w:rsid w:val="008D4AF8"/>
    <w:rsid w:val="00901E7E"/>
    <w:rsid w:val="00913B40"/>
    <w:rsid w:val="00924887"/>
    <w:rsid w:val="00937CA9"/>
    <w:rsid w:val="0097742E"/>
    <w:rsid w:val="009A2763"/>
    <w:rsid w:val="00A04232"/>
    <w:rsid w:val="00A04AE4"/>
    <w:rsid w:val="00A2060D"/>
    <w:rsid w:val="00A3158F"/>
    <w:rsid w:val="00A60683"/>
    <w:rsid w:val="00A64811"/>
    <w:rsid w:val="00AA0CB8"/>
    <w:rsid w:val="00AC0DD7"/>
    <w:rsid w:val="00AD0B51"/>
    <w:rsid w:val="00AE4480"/>
    <w:rsid w:val="00B648DC"/>
    <w:rsid w:val="00B946B6"/>
    <w:rsid w:val="00C43A50"/>
    <w:rsid w:val="00C80B66"/>
    <w:rsid w:val="00C853FF"/>
    <w:rsid w:val="00C86F60"/>
    <w:rsid w:val="00CE6A61"/>
    <w:rsid w:val="00D17BE9"/>
    <w:rsid w:val="00D215CE"/>
    <w:rsid w:val="00D24188"/>
    <w:rsid w:val="00D7795B"/>
    <w:rsid w:val="00DB1A16"/>
    <w:rsid w:val="00DE23D3"/>
    <w:rsid w:val="00DF41BF"/>
    <w:rsid w:val="00E45F25"/>
    <w:rsid w:val="00E61E41"/>
    <w:rsid w:val="00E91547"/>
    <w:rsid w:val="00EC3F4F"/>
    <w:rsid w:val="00F36E3C"/>
    <w:rsid w:val="00F52499"/>
    <w:rsid w:val="00F645E7"/>
    <w:rsid w:val="00FA4720"/>
    <w:rsid w:val="00FC3A20"/>
    <w:rsid w:val="0AB91DDE"/>
    <w:rsid w:val="0FDA0EDA"/>
    <w:rsid w:val="20F42913"/>
    <w:rsid w:val="29E23501"/>
    <w:rsid w:val="2D86579F"/>
    <w:rsid w:val="38666BAE"/>
    <w:rsid w:val="3CD55A7B"/>
    <w:rsid w:val="4EF1258F"/>
    <w:rsid w:val="542C5CB0"/>
    <w:rsid w:val="61E02CE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B8C6E"/>
  <w15:docId w15:val="{5C7A3857-E7AE-4CFA-AFC1-6CB9FC24E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Theme="minorHAnsi" w:eastAsiaTheme="minorHAnsi" w:hAnsiTheme="minorHAnsi" w:cstheme="minorBidi"/>
      <w:sz w:val="22"/>
      <w:szCs w:val="22"/>
      <w:lang w:eastAsia="en-US"/>
    </w:rPr>
  </w:style>
  <w:style w:type="paragraph" w:styleId="1">
    <w:name w:val="heading 1"/>
    <w:next w:val="a"/>
    <w:uiPriority w:val="9"/>
    <w:qFormat/>
    <w:pPr>
      <w:spacing w:beforeAutospacing="1" w:afterAutospacing="1"/>
      <w:outlineLvl w:val="0"/>
    </w:pPr>
    <w:rPr>
      <w:rFonts w:ascii="SimSun" w:hAnsi="SimSun" w:hint="eastAsia"/>
      <w:b/>
      <w:bCs/>
      <w:kern w:val="32"/>
      <w:sz w:val="48"/>
      <w:szCs w:val="4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Pr>
      <w:color w:val="954F72" w:themeColor="followedHyperlink"/>
      <w:u w:val="single"/>
    </w:rPr>
  </w:style>
  <w:style w:type="character" w:styleId="a4">
    <w:name w:val="annotation reference"/>
    <w:basedOn w:val="a0"/>
    <w:uiPriority w:val="99"/>
    <w:semiHidden/>
    <w:unhideWhenUsed/>
    <w:qFormat/>
    <w:rPr>
      <w:sz w:val="16"/>
      <w:szCs w:val="16"/>
    </w:rPr>
  </w:style>
  <w:style w:type="character" w:styleId="a5">
    <w:name w:val="Hyperlink"/>
    <w:basedOn w:val="a0"/>
    <w:uiPriority w:val="99"/>
    <w:unhideWhenUsed/>
    <w:qFormat/>
    <w:rPr>
      <w:color w:val="0563C1" w:themeColor="hyperlink"/>
      <w:u w:val="single"/>
    </w:rPr>
  </w:style>
  <w:style w:type="paragraph" w:styleId="a6">
    <w:name w:val="annotation text"/>
    <w:basedOn w:val="a"/>
    <w:link w:val="a7"/>
    <w:uiPriority w:val="99"/>
    <w:semiHidden/>
    <w:unhideWhenUsed/>
    <w:qFormat/>
    <w:pPr>
      <w:spacing w:line="240" w:lineRule="auto"/>
    </w:pPr>
    <w:rPr>
      <w:sz w:val="20"/>
      <w:szCs w:val="20"/>
    </w:rPr>
  </w:style>
  <w:style w:type="paragraph" w:styleId="a8">
    <w:name w:val="annotation subject"/>
    <w:basedOn w:val="a6"/>
    <w:next w:val="a6"/>
    <w:link w:val="a9"/>
    <w:uiPriority w:val="99"/>
    <w:semiHidden/>
    <w:unhideWhenUsed/>
    <w:qFormat/>
    <w:rPr>
      <w:b/>
      <w:bCs/>
    </w:rPr>
  </w:style>
  <w:style w:type="paragraph" w:styleId="aa">
    <w:name w:val="header"/>
    <w:basedOn w:val="a"/>
    <w:link w:val="ab"/>
    <w:uiPriority w:val="99"/>
    <w:unhideWhenUsed/>
    <w:qFormat/>
    <w:pPr>
      <w:tabs>
        <w:tab w:val="center" w:pos="4677"/>
        <w:tab w:val="right" w:pos="9355"/>
      </w:tabs>
      <w:spacing w:after="0" w:line="240" w:lineRule="auto"/>
    </w:pPr>
  </w:style>
  <w:style w:type="paragraph" w:styleId="ac">
    <w:name w:val="footer"/>
    <w:basedOn w:val="a"/>
    <w:link w:val="ad"/>
    <w:uiPriority w:val="99"/>
    <w:unhideWhenUsed/>
    <w:qFormat/>
    <w:pPr>
      <w:tabs>
        <w:tab w:val="center" w:pos="4677"/>
        <w:tab w:val="right" w:pos="9355"/>
      </w:tabs>
      <w:spacing w:after="0" w:line="240" w:lineRule="auto"/>
    </w:p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pPr>
      <w:ind w:left="720"/>
      <w:contextualSpacing/>
    </w:pPr>
  </w:style>
  <w:style w:type="character" w:customStyle="1" w:styleId="ab">
    <w:name w:val="Верхний колонтитул Знак"/>
    <w:basedOn w:val="a0"/>
    <w:link w:val="aa"/>
    <w:uiPriority w:val="99"/>
    <w:qFormat/>
  </w:style>
  <w:style w:type="character" w:customStyle="1" w:styleId="ad">
    <w:name w:val="Нижний колонтитул Знак"/>
    <w:basedOn w:val="a0"/>
    <w:link w:val="ac"/>
    <w:uiPriority w:val="99"/>
    <w:qFormat/>
  </w:style>
  <w:style w:type="character" w:customStyle="1" w:styleId="a7">
    <w:name w:val="Текст примечания Знак"/>
    <w:basedOn w:val="a0"/>
    <w:link w:val="a6"/>
    <w:uiPriority w:val="99"/>
    <w:semiHidden/>
    <w:qFormat/>
    <w:rPr>
      <w:sz w:val="20"/>
      <w:szCs w:val="20"/>
    </w:rPr>
  </w:style>
  <w:style w:type="character" w:customStyle="1" w:styleId="a9">
    <w:name w:val="Тема примечания Знак"/>
    <w:basedOn w:val="a7"/>
    <w:link w:val="a8"/>
    <w:uiPriority w:val="99"/>
    <w:semiHidden/>
    <w:qFormat/>
    <w:rPr>
      <w:b/>
      <w:bCs/>
      <w:sz w:val="20"/>
      <w:szCs w:val="20"/>
    </w:rPr>
  </w:style>
  <w:style w:type="character" w:customStyle="1" w:styleId="10">
    <w:name w:val="Неразрешенное упоминание1"/>
    <w:basedOn w:val="a0"/>
    <w:uiPriority w:val="99"/>
    <w:semiHidden/>
    <w:unhideWhenUsed/>
    <w:qFormat/>
    <w:rPr>
      <w:color w:val="605E5C"/>
      <w:shd w:val="clear" w:color="auto" w:fill="E1DFDD"/>
    </w:rPr>
  </w:style>
  <w:style w:type="character" w:customStyle="1" w:styleId="2">
    <w:name w:val="Неразрешенное упоминание2"/>
    <w:basedOn w:val="a0"/>
    <w:uiPriority w:val="99"/>
    <w:semiHidden/>
    <w:unhideWhenUsed/>
    <w:rPr>
      <w:color w:val="605E5C"/>
      <w:shd w:val="clear" w:color="auto" w:fill="E1DFDD"/>
    </w:rPr>
  </w:style>
  <w:style w:type="character" w:styleId="af0">
    <w:name w:val="Unresolved Mention"/>
    <w:basedOn w:val="a0"/>
    <w:uiPriority w:val="99"/>
    <w:semiHidden/>
    <w:unhideWhenUsed/>
    <w:rsid w:val="00417F13"/>
    <w:rPr>
      <w:color w:val="605E5C"/>
      <w:shd w:val="clear" w:color="auto" w:fill="E1DFDD"/>
    </w:rPr>
  </w:style>
  <w:style w:type="paragraph" w:customStyle="1" w:styleId="ConsPlusNonformat">
    <w:name w:val="ConsPlusNonformat"/>
    <w:uiPriority w:val="99"/>
    <w:rsid w:val="003C064D"/>
    <w:pPr>
      <w:widowControl w:val="0"/>
      <w:autoSpaceDE w:val="0"/>
      <w:autoSpaceDN w:val="0"/>
      <w:adjustRightInd w:val="0"/>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gi.gov.ru/new/public/infomaterials/re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orod.danilov@yarregion.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fedresurs.ru/sfactmessages/b22dc0f0-d0f6-4c08-b294-a252911eab92" TargetMode="External"/><Relationship Id="rId4" Type="http://schemas.openxmlformats.org/officeDocument/2006/relationships/webSettings" Target="webSettings.xml"/><Relationship Id="rId9" Type="http://schemas.openxmlformats.org/officeDocument/2006/relationships/hyperlink" Target="mailto:birchikovaaa@yarreg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C6305-13BD-4DD3-BB85-C8512515A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3357</Words>
  <Characters>19138</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Ярославской области</Company>
  <LinksUpToDate>false</LinksUpToDate>
  <CharactersWithSpaces>22451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Волкодав Марина Владимировна</dc:creator>
  <cp:lastModifiedBy>Алина Бирчикова</cp:lastModifiedBy>
  <cp:revision>5</cp:revision>
  <dcterms:created xsi:type="dcterms:W3CDTF">2025-10-19T06:08:00Z</dcterms:created>
  <dcterms:modified xsi:type="dcterms:W3CDTF">2025-10-21T14:54:00Z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49EBEBA3F6434972B0D3DD006B7FDB35_13</vt:lpwstr>
  </property>
</Properties>
</file>